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91424" w14:textId="7F7FA14E" w:rsidR="008B05B1" w:rsidRDefault="00A20972" w:rsidP="008B05B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Government supports for businesses taking steps to </w:t>
      </w:r>
      <w:r w:rsidR="00AE5728">
        <w:rPr>
          <w:b/>
          <w:bCs/>
          <w:sz w:val="24"/>
          <w:szCs w:val="24"/>
          <w:u w:val="single"/>
        </w:rPr>
        <w:t>be more</w:t>
      </w:r>
      <w:r>
        <w:rPr>
          <w:b/>
          <w:bCs/>
          <w:sz w:val="24"/>
          <w:szCs w:val="24"/>
          <w:u w:val="single"/>
        </w:rPr>
        <w:t xml:space="preserve"> energy</w:t>
      </w:r>
      <w:r w:rsidR="00AE5728">
        <w:rPr>
          <w:b/>
          <w:bCs/>
          <w:sz w:val="24"/>
          <w:szCs w:val="24"/>
          <w:u w:val="single"/>
        </w:rPr>
        <w:t xml:space="preserve"> </w:t>
      </w:r>
      <w:r w:rsidR="008506BE">
        <w:rPr>
          <w:b/>
          <w:bCs/>
          <w:sz w:val="24"/>
          <w:szCs w:val="24"/>
          <w:u w:val="single"/>
        </w:rPr>
        <w:t>efficient.</w:t>
      </w:r>
    </w:p>
    <w:p w14:paraId="64607D66" w14:textId="77777777" w:rsidR="00A20972" w:rsidRDefault="00A20972" w:rsidP="008B05B1"/>
    <w:p w14:paraId="493C65C6" w14:textId="61CDC3A4" w:rsidR="00A20972" w:rsidRDefault="00A20972" w:rsidP="008B05B1">
      <w:r>
        <w:t xml:space="preserve">The Government supports businesses undertaking steps to save energy and advance cleaner energy solutions. The details of such schemes are </w:t>
      </w:r>
      <w:r w:rsidR="003A538B">
        <w:t xml:space="preserve">listed </w:t>
      </w:r>
      <w: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20972" w14:paraId="18F0FC14" w14:textId="77777777" w:rsidTr="00A20972">
        <w:tc>
          <w:tcPr>
            <w:tcW w:w="3114" w:type="dxa"/>
          </w:tcPr>
          <w:p w14:paraId="0675DFD6" w14:textId="20F20E18" w:rsidR="00A20972" w:rsidRPr="00A20972" w:rsidRDefault="00A20972" w:rsidP="008B05B1">
            <w:pPr>
              <w:rPr>
                <w:b/>
                <w:bCs/>
              </w:rPr>
            </w:pPr>
            <w:r>
              <w:rPr>
                <w:b/>
                <w:bCs/>
              </w:rPr>
              <w:t>Scheme</w:t>
            </w:r>
          </w:p>
        </w:tc>
        <w:tc>
          <w:tcPr>
            <w:tcW w:w="5902" w:type="dxa"/>
          </w:tcPr>
          <w:p w14:paraId="7318C957" w14:textId="18973357" w:rsidR="00A20972" w:rsidRPr="00A20972" w:rsidRDefault="00A20972" w:rsidP="008B05B1">
            <w:pPr>
              <w:rPr>
                <w:b/>
                <w:bCs/>
              </w:rPr>
            </w:pPr>
            <w:r>
              <w:rPr>
                <w:b/>
                <w:bCs/>
              </w:rPr>
              <w:t>Details</w:t>
            </w:r>
          </w:p>
        </w:tc>
      </w:tr>
      <w:tr w:rsidR="00A20972" w14:paraId="44D154D8" w14:textId="77777777" w:rsidTr="00A20972">
        <w:tc>
          <w:tcPr>
            <w:tcW w:w="3114" w:type="dxa"/>
          </w:tcPr>
          <w:p w14:paraId="70034D46" w14:textId="3D50451E" w:rsidR="00A20972" w:rsidRPr="00A20972" w:rsidRDefault="00680FF1" w:rsidP="008B05B1">
            <w:hyperlink r:id="rId8" w:history="1">
              <w:r w:rsidR="00A20972" w:rsidRPr="003C147D">
                <w:rPr>
                  <w:rStyle w:val="Hyperlink"/>
                </w:rPr>
                <w:t>EXEED Certified Grant from SEAI</w:t>
              </w:r>
            </w:hyperlink>
          </w:p>
        </w:tc>
        <w:tc>
          <w:tcPr>
            <w:tcW w:w="5902" w:type="dxa"/>
          </w:tcPr>
          <w:p w14:paraId="22D6D5ED" w14:textId="119D66CF" w:rsidR="00A20972" w:rsidRDefault="003C147D" w:rsidP="008B05B1">
            <w:r>
              <w:t>G</w:t>
            </w:r>
            <w:r w:rsidR="00A20972">
              <w:t>rants</w:t>
            </w:r>
            <w:r>
              <w:t xml:space="preserve"> of up to €1,000,000 or 50% of a project</w:t>
            </w:r>
            <w:r w:rsidR="00A20972">
              <w:t xml:space="preserve"> for an organisation conducting a project aiming at EXEED energy efficiency certification under the following categories:</w:t>
            </w:r>
          </w:p>
          <w:p w14:paraId="16818D80" w14:textId="77777777" w:rsidR="00A20972" w:rsidRDefault="00A20972" w:rsidP="00A20972">
            <w:pPr>
              <w:pStyle w:val="ListParagraph"/>
              <w:numPr>
                <w:ilvl w:val="0"/>
                <w:numId w:val="19"/>
              </w:numPr>
            </w:pPr>
            <w:r>
              <w:t>Retrofit upgrades</w:t>
            </w:r>
          </w:p>
          <w:p w14:paraId="6E452262" w14:textId="77777777" w:rsidR="003C147D" w:rsidRDefault="003C147D" w:rsidP="00A20972">
            <w:pPr>
              <w:pStyle w:val="ListParagraph"/>
              <w:numPr>
                <w:ilvl w:val="0"/>
                <w:numId w:val="19"/>
              </w:numPr>
            </w:pPr>
            <w:r>
              <w:t>Partnerships with an energy supplier already participating in the Energy Efficiency Obligation Scheme</w:t>
            </w:r>
          </w:p>
          <w:p w14:paraId="49B8779B" w14:textId="15E1FBF0" w:rsidR="003C147D" w:rsidRDefault="003C147D" w:rsidP="003C147D">
            <w:r>
              <w:t>Applications accepted year-round. Projects must be completed by October in the year following the year the application was lodged.</w:t>
            </w:r>
          </w:p>
        </w:tc>
      </w:tr>
      <w:tr w:rsidR="00A20972" w14:paraId="331346C1" w14:textId="77777777" w:rsidTr="00A20972">
        <w:tc>
          <w:tcPr>
            <w:tcW w:w="3114" w:type="dxa"/>
          </w:tcPr>
          <w:p w14:paraId="2DB0ACA6" w14:textId="401D3E06" w:rsidR="00A20972" w:rsidRDefault="00680FF1" w:rsidP="008B05B1">
            <w:hyperlink r:id="rId9" w:history="1">
              <w:r w:rsidR="003C147D" w:rsidRPr="003C147D">
                <w:rPr>
                  <w:rStyle w:val="Hyperlink"/>
                </w:rPr>
                <w:t>Accelerated Capital Allowance</w:t>
              </w:r>
            </w:hyperlink>
          </w:p>
        </w:tc>
        <w:tc>
          <w:tcPr>
            <w:tcW w:w="5902" w:type="dxa"/>
          </w:tcPr>
          <w:p w14:paraId="2A2B1546" w14:textId="77777777" w:rsidR="003C147D" w:rsidRDefault="003C147D" w:rsidP="008B05B1">
            <w:r w:rsidRPr="003C147D">
              <w:t xml:space="preserve">The ACA scheme </w:t>
            </w:r>
            <w:r>
              <w:t>enables</w:t>
            </w:r>
            <w:r w:rsidRPr="003C147D">
              <w:t xml:space="preserve"> a sole trader, farmer or company that pays corporation tax in Ireland to deduct the full cost of </w:t>
            </w:r>
            <w:r>
              <w:t xml:space="preserve">energy efficient </w:t>
            </w:r>
            <w:r w:rsidRPr="003C147D">
              <w:t>equipment from their profits in the year of purchase. As a result, the reduction in tax paid by the organisation in that year is currently 12.5% of the value of capital expenditure.</w:t>
            </w:r>
            <w:r>
              <w:t xml:space="preserve"> </w:t>
            </w:r>
          </w:p>
          <w:p w14:paraId="7BF341B7" w14:textId="77777777" w:rsidR="003C147D" w:rsidRDefault="003C147D" w:rsidP="008B05B1"/>
          <w:p w14:paraId="5D4A1964" w14:textId="617B9990" w:rsidR="00A20972" w:rsidRDefault="003C147D" w:rsidP="008B05B1">
            <w:r>
              <w:t xml:space="preserve">The equipment </w:t>
            </w:r>
            <w:r w:rsidR="00E15C97">
              <w:t xml:space="preserve">purchased </w:t>
            </w:r>
            <w:r>
              <w:t>must be listed on the Triple E register of recognised energy efficient equipment.</w:t>
            </w:r>
          </w:p>
          <w:p w14:paraId="6DDC2F66" w14:textId="585B120F" w:rsidR="003C147D" w:rsidRDefault="003C147D" w:rsidP="008B05B1">
            <w:r>
              <w:t>Claims are made as part of the usual submission of CT1 company return of income form.</w:t>
            </w:r>
          </w:p>
        </w:tc>
      </w:tr>
      <w:tr w:rsidR="00A20972" w14:paraId="6579AEB1" w14:textId="77777777" w:rsidTr="00A20972">
        <w:tc>
          <w:tcPr>
            <w:tcW w:w="3114" w:type="dxa"/>
          </w:tcPr>
          <w:p w14:paraId="058E26C5" w14:textId="23374E1E" w:rsidR="00A20972" w:rsidRDefault="00680FF1" w:rsidP="008B05B1">
            <w:hyperlink r:id="rId10" w:history="1">
              <w:r w:rsidR="003C147D" w:rsidRPr="003A538B">
                <w:rPr>
                  <w:rStyle w:val="Hyperlink"/>
                </w:rPr>
                <w:t>Support Scheme for Renewable Heat</w:t>
              </w:r>
            </w:hyperlink>
          </w:p>
        </w:tc>
        <w:tc>
          <w:tcPr>
            <w:tcW w:w="5902" w:type="dxa"/>
          </w:tcPr>
          <w:p w14:paraId="75B06B81" w14:textId="77777777" w:rsidR="003C147D" w:rsidRPr="003C147D" w:rsidRDefault="003C147D" w:rsidP="003C147D">
            <w:r>
              <w:t xml:space="preserve">The Support Scheme for Renewable Heat supports </w:t>
            </w:r>
            <w:r w:rsidRPr="003C147D">
              <w:t xml:space="preserve">the adoption of renewable heating systems by commercial, industrial, agricultural, district heating, public sector and other non-domestic heat users not covered by the emissions trading system. </w:t>
            </w:r>
          </w:p>
          <w:p w14:paraId="5F980FE3" w14:textId="77777777" w:rsidR="00A20972" w:rsidRDefault="00A20972" w:rsidP="008B05B1"/>
          <w:p w14:paraId="5EB745A0" w14:textId="77777777" w:rsidR="003A538B" w:rsidRDefault="003C147D" w:rsidP="008B05B1">
            <w:r>
              <w:t xml:space="preserve">This consists of an installation grant of up to 30% </w:t>
            </w:r>
            <w:r w:rsidR="003A538B">
              <w:t>of an investment into:</w:t>
            </w:r>
          </w:p>
          <w:p w14:paraId="20E8402A" w14:textId="04D9308B" w:rsidR="003A538B" w:rsidRDefault="003A538B" w:rsidP="003A538B">
            <w:pPr>
              <w:pStyle w:val="ListParagraph"/>
              <w:numPr>
                <w:ilvl w:val="0"/>
                <w:numId w:val="20"/>
              </w:numPr>
            </w:pPr>
            <w:r>
              <w:t>Air source heat pumps</w:t>
            </w:r>
          </w:p>
          <w:p w14:paraId="08F24F26" w14:textId="77777777" w:rsidR="003A538B" w:rsidRDefault="003A538B" w:rsidP="003A538B">
            <w:pPr>
              <w:pStyle w:val="ListParagraph"/>
              <w:numPr>
                <w:ilvl w:val="0"/>
                <w:numId w:val="20"/>
              </w:numPr>
            </w:pPr>
            <w:r>
              <w:t>Ground source heat pumps</w:t>
            </w:r>
          </w:p>
          <w:p w14:paraId="11C7D4CB" w14:textId="77777777" w:rsidR="003C147D" w:rsidRDefault="003A538B" w:rsidP="003A538B">
            <w:pPr>
              <w:pStyle w:val="ListParagraph"/>
              <w:numPr>
                <w:ilvl w:val="0"/>
                <w:numId w:val="20"/>
              </w:numPr>
            </w:pPr>
            <w:r>
              <w:t>Water source heat pumps</w:t>
            </w:r>
          </w:p>
          <w:p w14:paraId="0E74D992" w14:textId="77777777" w:rsidR="003A538B" w:rsidRDefault="003A538B" w:rsidP="003A538B"/>
          <w:p w14:paraId="64B60D23" w14:textId="52556A74" w:rsidR="003A538B" w:rsidRDefault="003A538B" w:rsidP="003A538B">
            <w:r>
              <w:t>And of a tariff supporting the upkeep for up to 15 years of the following technologies:</w:t>
            </w:r>
          </w:p>
          <w:p w14:paraId="10B1E64C" w14:textId="77777777" w:rsidR="003A538B" w:rsidRDefault="003A538B" w:rsidP="003A538B">
            <w:pPr>
              <w:pStyle w:val="ListParagraph"/>
              <w:numPr>
                <w:ilvl w:val="0"/>
                <w:numId w:val="21"/>
              </w:numPr>
            </w:pPr>
            <w:r>
              <w:t>Biomass boiler or biomass HE CHP heating systems</w:t>
            </w:r>
          </w:p>
          <w:p w14:paraId="39720013" w14:textId="13DCB619" w:rsidR="003A538B" w:rsidRDefault="003A538B" w:rsidP="003A538B">
            <w:pPr>
              <w:pStyle w:val="ListParagraph"/>
              <w:numPr>
                <w:ilvl w:val="0"/>
                <w:numId w:val="21"/>
              </w:numPr>
            </w:pPr>
            <w:r>
              <w:t>Biogas (anaerobic digestion) boiler or biogas HE CHP heating systems</w:t>
            </w:r>
          </w:p>
        </w:tc>
      </w:tr>
      <w:tr w:rsidR="00A20972" w14:paraId="6DB33E5C" w14:textId="77777777" w:rsidTr="00A20972">
        <w:tc>
          <w:tcPr>
            <w:tcW w:w="3114" w:type="dxa"/>
          </w:tcPr>
          <w:p w14:paraId="082FBBAF" w14:textId="020370D1" w:rsidR="00A20972" w:rsidRDefault="00680FF1" w:rsidP="008B05B1">
            <w:hyperlink r:id="rId11" w:history="1">
              <w:r w:rsidR="003A538B" w:rsidRPr="00FE4D36">
                <w:rPr>
                  <w:rStyle w:val="Hyperlink"/>
                </w:rPr>
                <w:t>Energy Efficiency Obligation Scheme (EEOS)</w:t>
              </w:r>
            </w:hyperlink>
          </w:p>
        </w:tc>
        <w:tc>
          <w:tcPr>
            <w:tcW w:w="5902" w:type="dxa"/>
          </w:tcPr>
          <w:p w14:paraId="105AEE6C" w14:textId="4D75BE5F" w:rsidR="00A20972" w:rsidRDefault="003A538B" w:rsidP="008B05B1">
            <w:r>
              <w:t xml:space="preserve">Under this scheme, large energy suppliers of all energy types are obligated to meet targets to provide a certain level of support to residential and commercial projects aiming at </w:t>
            </w:r>
            <w:r>
              <w:lastRenderedPageBreak/>
              <w:t>improving energy efficiency. Corresponding to the amount of energy saved by the project, the supplier earns a corresponding amount of energy credits toward their target.</w:t>
            </w:r>
          </w:p>
          <w:p w14:paraId="3915184E" w14:textId="79524159" w:rsidR="00FE4D36" w:rsidRDefault="00FE4D36" w:rsidP="008B05B1"/>
          <w:p w14:paraId="63A1EB71" w14:textId="33BDCDC9" w:rsidR="00FE4D36" w:rsidRDefault="00FE4D36" w:rsidP="008B05B1">
            <w:r>
              <w:t>Credits on non-residential projects are earned for financial and technical support when the project is in one of the following areas:</w:t>
            </w:r>
          </w:p>
          <w:p w14:paraId="759A985B" w14:textId="4419CEE3" w:rsidR="00FE4D36" w:rsidRDefault="00FE4D36" w:rsidP="00FE4D36">
            <w:pPr>
              <w:pStyle w:val="ListParagraph"/>
              <w:numPr>
                <w:ilvl w:val="0"/>
                <w:numId w:val="22"/>
              </w:numPr>
            </w:pPr>
            <w:r>
              <w:t>Lighting</w:t>
            </w:r>
          </w:p>
          <w:p w14:paraId="2D22B880" w14:textId="3490C12C" w:rsidR="00FE4D36" w:rsidRDefault="00FE4D36" w:rsidP="00FE4D36">
            <w:pPr>
              <w:pStyle w:val="ListParagraph"/>
              <w:numPr>
                <w:ilvl w:val="0"/>
                <w:numId w:val="22"/>
              </w:numPr>
            </w:pPr>
            <w:r>
              <w:t>Transport</w:t>
            </w:r>
          </w:p>
          <w:p w14:paraId="304F9665" w14:textId="3FC51B25" w:rsidR="00FE4D36" w:rsidRDefault="00FE4D36" w:rsidP="00FE4D36">
            <w:pPr>
              <w:pStyle w:val="ListParagraph"/>
              <w:numPr>
                <w:ilvl w:val="0"/>
                <w:numId w:val="22"/>
              </w:numPr>
            </w:pPr>
            <w:r>
              <w:t>Ventilation and air conditioning</w:t>
            </w:r>
          </w:p>
          <w:p w14:paraId="07AF22C0" w14:textId="50F36584" w:rsidR="00FE4D36" w:rsidRDefault="00FE4D36" w:rsidP="00FE4D36">
            <w:pPr>
              <w:pStyle w:val="ListParagraph"/>
              <w:numPr>
                <w:ilvl w:val="0"/>
                <w:numId w:val="22"/>
              </w:numPr>
            </w:pPr>
            <w:r>
              <w:t>Heating</w:t>
            </w:r>
          </w:p>
          <w:p w14:paraId="2BE4B496" w14:textId="536F5692" w:rsidR="00FE4D36" w:rsidRDefault="00FE4D36" w:rsidP="00FE4D36">
            <w:pPr>
              <w:pStyle w:val="ListParagraph"/>
              <w:numPr>
                <w:ilvl w:val="0"/>
                <w:numId w:val="22"/>
              </w:numPr>
            </w:pPr>
            <w:r>
              <w:t>Motors, drives and pumps</w:t>
            </w:r>
          </w:p>
          <w:p w14:paraId="73CB25A0" w14:textId="686332BF" w:rsidR="00FE4D36" w:rsidRDefault="00FE4D36" w:rsidP="00FE4D36">
            <w:pPr>
              <w:pStyle w:val="ListParagraph"/>
              <w:numPr>
                <w:ilvl w:val="0"/>
                <w:numId w:val="22"/>
              </w:numPr>
            </w:pPr>
            <w:r>
              <w:t>Combined heat and power</w:t>
            </w:r>
          </w:p>
          <w:p w14:paraId="409EA998" w14:textId="3CE2F7FD" w:rsidR="00FE4D36" w:rsidRDefault="00FE4D36" w:rsidP="00FE4D36">
            <w:pPr>
              <w:pStyle w:val="ListParagraph"/>
              <w:numPr>
                <w:ilvl w:val="0"/>
                <w:numId w:val="22"/>
              </w:numPr>
            </w:pPr>
            <w:r>
              <w:t>Refrigeration</w:t>
            </w:r>
          </w:p>
          <w:p w14:paraId="77F36B4A" w14:textId="3E1E9E4A" w:rsidR="00FE4D36" w:rsidRDefault="00FE4D36" w:rsidP="00FE4D36">
            <w:pPr>
              <w:pStyle w:val="ListParagraph"/>
              <w:numPr>
                <w:ilvl w:val="0"/>
                <w:numId w:val="22"/>
              </w:numPr>
            </w:pPr>
            <w:r>
              <w:t>Compressed area</w:t>
            </w:r>
          </w:p>
          <w:p w14:paraId="37AB4903" w14:textId="6B8F94E4" w:rsidR="00FE4D36" w:rsidRDefault="00FE4D36" w:rsidP="00FE4D36">
            <w:pPr>
              <w:pStyle w:val="ListParagraph"/>
              <w:numPr>
                <w:ilvl w:val="0"/>
                <w:numId w:val="22"/>
              </w:numPr>
            </w:pPr>
            <w:r>
              <w:t>Industry processes</w:t>
            </w:r>
          </w:p>
          <w:p w14:paraId="2A3FD3F6" w14:textId="5D3C958A" w:rsidR="003A538B" w:rsidRDefault="003A538B" w:rsidP="00FE4D36"/>
        </w:tc>
      </w:tr>
      <w:tr w:rsidR="00A20972" w14:paraId="44483455" w14:textId="77777777" w:rsidTr="00A20972">
        <w:tc>
          <w:tcPr>
            <w:tcW w:w="3114" w:type="dxa"/>
          </w:tcPr>
          <w:p w14:paraId="106C3FE4" w14:textId="33966C37" w:rsidR="00A20972" w:rsidRDefault="00680FF1" w:rsidP="008B05B1">
            <w:hyperlink r:id="rId12" w:history="1">
              <w:r w:rsidR="00FE4D36" w:rsidRPr="00FE4D36">
                <w:rPr>
                  <w:rStyle w:val="Hyperlink"/>
                </w:rPr>
                <w:t>Project Assistance Grants</w:t>
              </w:r>
            </w:hyperlink>
          </w:p>
        </w:tc>
        <w:tc>
          <w:tcPr>
            <w:tcW w:w="5902" w:type="dxa"/>
          </w:tcPr>
          <w:p w14:paraId="45494909" w14:textId="77777777" w:rsidR="00A20972" w:rsidRDefault="00FE4D36" w:rsidP="008B05B1">
            <w:r>
              <w:t>Project Assistance Grants are designed to help businesses and public bodies who spend more than €250,000 on energy bills per year to develop projects to save energy.</w:t>
            </w:r>
          </w:p>
          <w:p w14:paraId="03D8F4BC" w14:textId="77777777" w:rsidR="00FE4D36" w:rsidRDefault="00FE4D36" w:rsidP="008B05B1"/>
          <w:p w14:paraId="3C1917A3" w14:textId="77777777" w:rsidR="00FE4D36" w:rsidRDefault="00FE4D36" w:rsidP="008B05B1">
            <w:r w:rsidRPr="00FE4D36">
              <w:t xml:space="preserve">Up to 50% funding is available up to a maximum of €15,000 at </w:t>
            </w:r>
            <w:r>
              <w:t>the feasibility study stage,</w:t>
            </w:r>
            <w:r w:rsidRPr="00FE4D36">
              <w:t xml:space="preserve"> depending on the size of </w:t>
            </w:r>
            <w:r>
              <w:t>the applicant’s</w:t>
            </w:r>
            <w:r w:rsidRPr="00FE4D36">
              <w:t xml:space="preserve"> energy bill.</w:t>
            </w:r>
          </w:p>
          <w:p w14:paraId="5DC0B10B" w14:textId="77777777" w:rsidR="00FE4D36" w:rsidRDefault="00FE4D36" w:rsidP="008B05B1"/>
          <w:p w14:paraId="23DBDA08" w14:textId="08BFA91B" w:rsidR="00FE4D36" w:rsidRDefault="00FE4D36" w:rsidP="008B05B1">
            <w:r w:rsidRPr="00FE4D36">
              <w:t xml:space="preserve">Up to 75% funding to a maximum of €15,000 where basic energy performance arrangements are considered and up to €37,500 where energy performance contracting (EPC) is considered </w:t>
            </w:r>
            <w:r>
              <w:t>are available at the f</w:t>
            </w:r>
            <w:r w:rsidRPr="00FE4D36">
              <w:t>inal business case and project delivery support.</w:t>
            </w:r>
          </w:p>
        </w:tc>
      </w:tr>
      <w:tr w:rsidR="00A20972" w14:paraId="7D992125" w14:textId="77777777" w:rsidTr="00A20972">
        <w:tc>
          <w:tcPr>
            <w:tcW w:w="3114" w:type="dxa"/>
          </w:tcPr>
          <w:p w14:paraId="210C6909" w14:textId="3601745D" w:rsidR="00A20972" w:rsidRDefault="00680FF1" w:rsidP="008B05B1">
            <w:hyperlink r:id="rId13" w:history="1">
              <w:r w:rsidR="00E15C97" w:rsidRPr="008B1792">
                <w:rPr>
                  <w:rStyle w:val="Hyperlink"/>
                </w:rPr>
                <w:t>Energy Contracting</w:t>
              </w:r>
            </w:hyperlink>
          </w:p>
        </w:tc>
        <w:tc>
          <w:tcPr>
            <w:tcW w:w="5902" w:type="dxa"/>
          </w:tcPr>
          <w:p w14:paraId="769FBFCA" w14:textId="44183BA3" w:rsidR="00E15C97" w:rsidRDefault="00E15C97" w:rsidP="00E15C97">
            <w:r>
              <w:t xml:space="preserve">Energy Contracting is a 'pay for performance' approach to installing and operating energy technologies in </w:t>
            </w:r>
            <w:r w:rsidR="008B1792">
              <w:t>a</w:t>
            </w:r>
            <w:r>
              <w:t xml:space="preserve"> business</w:t>
            </w:r>
            <w:r w:rsidR="008B1792">
              <w:t xml:space="preserve"> that helps reduce performance risk of a project</w:t>
            </w:r>
            <w:r>
              <w:t>. The option chose</w:t>
            </w:r>
            <w:r w:rsidR="008B1792">
              <w:t>n</w:t>
            </w:r>
            <w:r>
              <w:t xml:space="preserve"> influences the level of energy and cost savings guaranteed</w:t>
            </w:r>
            <w:r w:rsidR="008B1792">
              <w:t xml:space="preserve"> by the provider of the energy efficiency improvement project</w:t>
            </w:r>
            <w:r>
              <w:t xml:space="preserve">. The two ends of the </w:t>
            </w:r>
            <w:r w:rsidR="008B1792">
              <w:t>spectrum of possible contracts are</w:t>
            </w:r>
            <w:r>
              <w:t>:</w:t>
            </w:r>
          </w:p>
          <w:p w14:paraId="698DA13D" w14:textId="77777777" w:rsidR="00E15C97" w:rsidRDefault="00E15C97" w:rsidP="00E15C97"/>
          <w:p w14:paraId="796FA0E9" w14:textId="77777777" w:rsidR="00E15C97" w:rsidRDefault="00E15C97" w:rsidP="00E15C97">
            <w:pPr>
              <w:pStyle w:val="ListParagraph"/>
              <w:numPr>
                <w:ilvl w:val="0"/>
                <w:numId w:val="23"/>
              </w:numPr>
            </w:pPr>
            <w:r>
              <w:t>Simple - Contractual guarantee making a portion of payment conditional on performance</w:t>
            </w:r>
          </w:p>
          <w:p w14:paraId="74265509" w14:textId="4A7CFF3C" w:rsidR="00A20972" w:rsidRDefault="00E15C97" w:rsidP="00E15C97">
            <w:pPr>
              <w:pStyle w:val="ListParagraph"/>
              <w:numPr>
                <w:ilvl w:val="0"/>
                <w:numId w:val="23"/>
              </w:numPr>
            </w:pPr>
            <w:r>
              <w:t>Complex - Third parties take full performance and finance risk of the energy project but on the basis of having future savings as a revenue stream.</w:t>
            </w:r>
          </w:p>
        </w:tc>
      </w:tr>
      <w:tr w:rsidR="00A20972" w14:paraId="711C4D43" w14:textId="77777777" w:rsidTr="00A20972">
        <w:tc>
          <w:tcPr>
            <w:tcW w:w="3114" w:type="dxa"/>
          </w:tcPr>
          <w:p w14:paraId="7699716A" w14:textId="6CD1D3FC" w:rsidR="00A20972" w:rsidRDefault="00680FF1" w:rsidP="008B05B1">
            <w:hyperlink r:id="rId14" w:history="1">
              <w:r w:rsidR="008B1792" w:rsidRPr="008B1792">
                <w:rPr>
                  <w:rStyle w:val="Hyperlink"/>
                </w:rPr>
                <w:t>SEAI Energy Academy</w:t>
              </w:r>
            </w:hyperlink>
          </w:p>
        </w:tc>
        <w:tc>
          <w:tcPr>
            <w:tcW w:w="5902" w:type="dxa"/>
          </w:tcPr>
          <w:p w14:paraId="77A0DBC7" w14:textId="660D4FCD" w:rsidR="00A20972" w:rsidRDefault="000E0DBA" w:rsidP="008B05B1">
            <w:r w:rsidRPr="000E0DBA">
              <w:t>T</w:t>
            </w:r>
            <w:r>
              <w:t>he SEAI Energy Academy is a</w:t>
            </w:r>
            <w:r w:rsidRPr="000E0DBA">
              <w:t xml:space="preserve"> free online resource d</w:t>
            </w:r>
            <w:r>
              <w:t>eveloped</w:t>
            </w:r>
            <w:r w:rsidRPr="000E0DBA">
              <w:t xml:space="preserve"> by experts and gives SMEs access to high quality energy training.</w:t>
            </w:r>
            <w:r>
              <w:t xml:space="preserve"> It includes briefings and workshops for businesses as well as resources for the workplace.</w:t>
            </w:r>
          </w:p>
        </w:tc>
      </w:tr>
    </w:tbl>
    <w:p w14:paraId="0CDE8804" w14:textId="0AB7D393" w:rsidR="00A20972" w:rsidRPr="00A20972" w:rsidRDefault="00A20972" w:rsidP="008B05B1">
      <w:r>
        <w:t xml:space="preserve"> </w:t>
      </w:r>
    </w:p>
    <w:sectPr w:rsidR="00A20972" w:rsidRPr="00A20972" w:rsidSect="00801691">
      <w:headerReference w:type="default" r:id="rId15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7A64A" w14:textId="77777777" w:rsidR="00680FF1" w:rsidRDefault="00680FF1" w:rsidP="00F15ACA">
      <w:pPr>
        <w:spacing w:after="0" w:line="240" w:lineRule="auto"/>
      </w:pPr>
      <w:r>
        <w:separator/>
      </w:r>
    </w:p>
  </w:endnote>
  <w:endnote w:type="continuationSeparator" w:id="0">
    <w:p w14:paraId="1612FB36" w14:textId="77777777" w:rsidR="00680FF1" w:rsidRDefault="00680FF1" w:rsidP="00F1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F6E0C" w14:textId="77777777" w:rsidR="00680FF1" w:rsidRDefault="00680FF1" w:rsidP="00F15ACA">
      <w:pPr>
        <w:spacing w:after="0" w:line="240" w:lineRule="auto"/>
      </w:pPr>
      <w:r>
        <w:separator/>
      </w:r>
    </w:p>
  </w:footnote>
  <w:footnote w:type="continuationSeparator" w:id="0">
    <w:p w14:paraId="6361B45C" w14:textId="77777777" w:rsidR="00680FF1" w:rsidRDefault="00680FF1" w:rsidP="00F1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66EF0" w14:textId="6A68D718" w:rsidR="00F15ACA" w:rsidRDefault="003F47FF" w:rsidP="00F15ACA">
    <w:pPr>
      <w:pStyle w:val="Header"/>
      <w:tabs>
        <w:tab w:val="clear" w:pos="4513"/>
        <w:tab w:val="clear" w:pos="9026"/>
        <w:tab w:val="left" w:pos="7740"/>
      </w:tabs>
      <w:ind w:left="6480"/>
      <w:jc w:val="right"/>
    </w:pPr>
    <w:r>
      <w:rPr>
        <w:noProof/>
      </w:rPr>
      <w:drawing>
        <wp:inline distT="0" distB="0" distL="0" distR="0" wp14:anchorId="5310B006" wp14:editId="28FDEFD3">
          <wp:extent cx="1181100" cy="952500"/>
          <wp:effectExtent l="0" t="0" r="0" b="0"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dyford-bid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AA62E7" w14:textId="77777777" w:rsidR="00F15ACA" w:rsidRDefault="00F15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199A"/>
    <w:multiLevelType w:val="hybridMultilevel"/>
    <w:tmpl w:val="B71C47E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58BF"/>
    <w:multiLevelType w:val="hybridMultilevel"/>
    <w:tmpl w:val="22380C6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C0E77"/>
    <w:multiLevelType w:val="hybridMultilevel"/>
    <w:tmpl w:val="24CE54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7666E"/>
    <w:multiLevelType w:val="hybridMultilevel"/>
    <w:tmpl w:val="B5E821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25029"/>
    <w:multiLevelType w:val="hybridMultilevel"/>
    <w:tmpl w:val="4FEA587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C5BDF"/>
    <w:multiLevelType w:val="multilevel"/>
    <w:tmpl w:val="7F44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77BEB"/>
    <w:multiLevelType w:val="multilevel"/>
    <w:tmpl w:val="632A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42298"/>
    <w:multiLevelType w:val="hybridMultilevel"/>
    <w:tmpl w:val="CF9C27C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B1259"/>
    <w:multiLevelType w:val="hybridMultilevel"/>
    <w:tmpl w:val="2DB268CE"/>
    <w:lvl w:ilvl="0" w:tplc="70BC6C1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840B3"/>
    <w:multiLevelType w:val="hybridMultilevel"/>
    <w:tmpl w:val="801C10FA"/>
    <w:lvl w:ilvl="0" w:tplc="0FCEBF38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B2ED0"/>
    <w:multiLevelType w:val="hybridMultilevel"/>
    <w:tmpl w:val="8A80F5C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0392A"/>
    <w:multiLevelType w:val="multilevel"/>
    <w:tmpl w:val="6BF2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E1401E"/>
    <w:multiLevelType w:val="hybridMultilevel"/>
    <w:tmpl w:val="FA6EE8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73348"/>
    <w:multiLevelType w:val="hybridMultilevel"/>
    <w:tmpl w:val="317CB8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861F2"/>
    <w:multiLevelType w:val="multilevel"/>
    <w:tmpl w:val="A5E8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091D64"/>
    <w:multiLevelType w:val="multilevel"/>
    <w:tmpl w:val="79B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A1BC3"/>
    <w:multiLevelType w:val="hybridMultilevel"/>
    <w:tmpl w:val="5DE0ED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24C83"/>
    <w:multiLevelType w:val="hybridMultilevel"/>
    <w:tmpl w:val="E3502E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B3F90"/>
    <w:multiLevelType w:val="multilevel"/>
    <w:tmpl w:val="7F7A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1D7708"/>
    <w:multiLevelType w:val="multilevel"/>
    <w:tmpl w:val="8A6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8F006F"/>
    <w:multiLevelType w:val="multilevel"/>
    <w:tmpl w:val="9F6C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417582"/>
    <w:multiLevelType w:val="hybridMultilevel"/>
    <w:tmpl w:val="72FE0598"/>
    <w:lvl w:ilvl="0" w:tplc="07D6F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272D1"/>
    <w:multiLevelType w:val="hybridMultilevel"/>
    <w:tmpl w:val="ED8476D0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4"/>
  </w:num>
  <w:num w:numId="4">
    <w:abstractNumId w:val="20"/>
  </w:num>
  <w:num w:numId="5">
    <w:abstractNumId w:val="15"/>
  </w:num>
  <w:num w:numId="6">
    <w:abstractNumId w:val="11"/>
  </w:num>
  <w:num w:numId="7">
    <w:abstractNumId w:val="9"/>
  </w:num>
  <w:num w:numId="8">
    <w:abstractNumId w:val="21"/>
  </w:num>
  <w:num w:numId="9">
    <w:abstractNumId w:val="6"/>
  </w:num>
  <w:num w:numId="10">
    <w:abstractNumId w:val="8"/>
  </w:num>
  <w:num w:numId="11">
    <w:abstractNumId w:val="0"/>
  </w:num>
  <w:num w:numId="12">
    <w:abstractNumId w:val="4"/>
  </w:num>
  <w:num w:numId="13">
    <w:abstractNumId w:val="7"/>
  </w:num>
  <w:num w:numId="14">
    <w:abstractNumId w:val="10"/>
  </w:num>
  <w:num w:numId="15">
    <w:abstractNumId w:val="22"/>
  </w:num>
  <w:num w:numId="16">
    <w:abstractNumId w:val="1"/>
  </w:num>
  <w:num w:numId="17">
    <w:abstractNumId w:val="18"/>
  </w:num>
  <w:num w:numId="18">
    <w:abstractNumId w:val="16"/>
  </w:num>
  <w:num w:numId="19">
    <w:abstractNumId w:val="17"/>
  </w:num>
  <w:num w:numId="20">
    <w:abstractNumId w:val="3"/>
  </w:num>
  <w:num w:numId="21">
    <w:abstractNumId w:val="12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FB"/>
    <w:rsid w:val="00023C14"/>
    <w:rsid w:val="0006488B"/>
    <w:rsid w:val="00066BF7"/>
    <w:rsid w:val="000B43A6"/>
    <w:rsid w:val="000B6771"/>
    <w:rsid w:val="000C3AEE"/>
    <w:rsid w:val="000E0DBA"/>
    <w:rsid w:val="00153F9B"/>
    <w:rsid w:val="00173827"/>
    <w:rsid w:val="001A16FE"/>
    <w:rsid w:val="001B00A5"/>
    <w:rsid w:val="001B1DC3"/>
    <w:rsid w:val="001D74F6"/>
    <w:rsid w:val="001E5813"/>
    <w:rsid w:val="00216EC7"/>
    <w:rsid w:val="002471FB"/>
    <w:rsid w:val="00290BA6"/>
    <w:rsid w:val="002D1549"/>
    <w:rsid w:val="002F53FE"/>
    <w:rsid w:val="003829B3"/>
    <w:rsid w:val="00385617"/>
    <w:rsid w:val="003A538B"/>
    <w:rsid w:val="003C147D"/>
    <w:rsid w:val="003F47FF"/>
    <w:rsid w:val="00415C96"/>
    <w:rsid w:val="004B308C"/>
    <w:rsid w:val="004C0612"/>
    <w:rsid w:val="004C363A"/>
    <w:rsid w:val="005E5C0B"/>
    <w:rsid w:val="00680FF1"/>
    <w:rsid w:val="006E21B8"/>
    <w:rsid w:val="007044B1"/>
    <w:rsid w:val="0072437B"/>
    <w:rsid w:val="007B1216"/>
    <w:rsid w:val="007D62B7"/>
    <w:rsid w:val="00801691"/>
    <w:rsid w:val="008506BE"/>
    <w:rsid w:val="008B05B1"/>
    <w:rsid w:val="008B1792"/>
    <w:rsid w:val="009233A2"/>
    <w:rsid w:val="00923D29"/>
    <w:rsid w:val="009376A5"/>
    <w:rsid w:val="00975856"/>
    <w:rsid w:val="009A4206"/>
    <w:rsid w:val="009D67E7"/>
    <w:rsid w:val="00A02540"/>
    <w:rsid w:val="00A20972"/>
    <w:rsid w:val="00A30EC1"/>
    <w:rsid w:val="00A56A8C"/>
    <w:rsid w:val="00A83FD0"/>
    <w:rsid w:val="00AE5728"/>
    <w:rsid w:val="00B1720F"/>
    <w:rsid w:val="00B52744"/>
    <w:rsid w:val="00B7150E"/>
    <w:rsid w:val="00B8730C"/>
    <w:rsid w:val="00DB12DD"/>
    <w:rsid w:val="00DB210F"/>
    <w:rsid w:val="00DC7DE3"/>
    <w:rsid w:val="00DE15A6"/>
    <w:rsid w:val="00E15C97"/>
    <w:rsid w:val="00E671CA"/>
    <w:rsid w:val="00E82733"/>
    <w:rsid w:val="00EA0F40"/>
    <w:rsid w:val="00F15ACA"/>
    <w:rsid w:val="00F47B56"/>
    <w:rsid w:val="00F57E1C"/>
    <w:rsid w:val="00F80816"/>
    <w:rsid w:val="00FA1316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EC264"/>
  <w15:chartTrackingRefBased/>
  <w15:docId w15:val="{E13D7DD6-C0C1-4969-9CC0-D3317074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2471FB"/>
    <w:rPr>
      <w:b/>
      <w:bCs/>
    </w:rPr>
  </w:style>
  <w:style w:type="character" w:styleId="Hyperlink">
    <w:name w:val="Hyperlink"/>
    <w:basedOn w:val="DefaultParagraphFont"/>
    <w:uiPriority w:val="99"/>
    <w:unhideWhenUsed/>
    <w:rsid w:val="002471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71FB"/>
    <w:pPr>
      <w:ind w:left="720"/>
      <w:contextualSpacing/>
    </w:pPr>
  </w:style>
  <w:style w:type="table" w:styleId="TableGrid">
    <w:name w:val="Table Grid"/>
    <w:basedOn w:val="TableNormal"/>
    <w:uiPriority w:val="39"/>
    <w:rsid w:val="004C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3C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CA"/>
  </w:style>
  <w:style w:type="paragraph" w:styleId="Footer">
    <w:name w:val="footer"/>
    <w:basedOn w:val="Normal"/>
    <w:link w:val="FooterChar"/>
    <w:uiPriority w:val="99"/>
    <w:unhideWhenUsed/>
    <w:rsid w:val="00F1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i.ie/business-and-public-sector/business-grants-and-supports/exeed-certified-grant/" TargetMode="External"/><Relationship Id="rId13" Type="http://schemas.openxmlformats.org/officeDocument/2006/relationships/hyperlink" Target="https://www.seai.ie/business-and-public-sector/business-grants-and-supports/energy-contract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ai.ie/business-and-public-sector/business-grants-and-supports/project-assistance-grant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ai.ie/business-and-public-sector/business-grants-and-supports/energy-efficiency-obligation-schem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eai.ie/business-and-public-sector/business-grants-and-supports/support-scheme-renewable-he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ai.ie/business-and-public-sector/business-grants-and-supports/accelerated-capital-allowance/" TargetMode="External"/><Relationship Id="rId14" Type="http://schemas.openxmlformats.org/officeDocument/2006/relationships/hyperlink" Target="https://www.seai.ie/business-and-public-sector/small-and-medium-busines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74D0B-F065-4980-B84E-1FBCC5ED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</dc:creator>
  <cp:keywords/>
  <dc:description/>
  <cp:lastModifiedBy>Niamh Egan</cp:lastModifiedBy>
  <cp:revision>2</cp:revision>
  <dcterms:created xsi:type="dcterms:W3CDTF">2021-01-19T10:54:00Z</dcterms:created>
  <dcterms:modified xsi:type="dcterms:W3CDTF">2021-01-19T10:54:00Z</dcterms:modified>
</cp:coreProperties>
</file>