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5C00D" w14:textId="5AA0E8A5" w:rsidR="00FD4571" w:rsidRPr="00F93FBD" w:rsidRDefault="00DB5FBA" w:rsidP="00F93FBD">
      <w:pPr>
        <w:jc w:val="center"/>
        <w:rPr>
          <w:rFonts w:ascii="Verdana" w:hAnsi="Verdana"/>
          <w:b/>
          <w:bCs/>
          <w:color w:val="3A7C22" w:themeColor="accent6" w:themeShade="BF"/>
          <w:sz w:val="32"/>
          <w:szCs w:val="32"/>
        </w:rPr>
      </w:pPr>
      <w:r w:rsidRPr="00F93FBD">
        <w:rPr>
          <w:rFonts w:ascii="Verdana" w:hAnsi="Verdana"/>
          <w:b/>
          <w:bCs/>
          <w:color w:val="3A7C22" w:themeColor="accent6" w:themeShade="BF"/>
          <w:sz w:val="32"/>
          <w:szCs w:val="32"/>
        </w:rPr>
        <w:t>SANDYFORD: A NEW VISION</w:t>
      </w:r>
    </w:p>
    <w:p w14:paraId="1666E329" w14:textId="69756925" w:rsidR="00DB5FBA" w:rsidRPr="00F93FBD" w:rsidRDefault="00DB5FBA" w:rsidP="00F93FBD">
      <w:pPr>
        <w:jc w:val="center"/>
        <w:rPr>
          <w:rFonts w:ascii="Verdana" w:hAnsi="Verdana"/>
          <w:b/>
          <w:bCs/>
        </w:rPr>
      </w:pPr>
      <w:r w:rsidRPr="00F93FBD">
        <w:rPr>
          <w:rFonts w:ascii="Verdana" w:hAnsi="Verdana"/>
          <w:b/>
          <w:bCs/>
        </w:rPr>
        <w:t xml:space="preserve">Non-statutory “Have Your Say” public </w:t>
      </w:r>
      <w:r w:rsidR="00D54705" w:rsidRPr="00F93FBD">
        <w:rPr>
          <w:rFonts w:ascii="Verdana" w:hAnsi="Verdana"/>
          <w:b/>
          <w:bCs/>
        </w:rPr>
        <w:t>consultation.</w:t>
      </w:r>
    </w:p>
    <w:p w14:paraId="2FF1CB2F" w14:textId="6A45812A" w:rsidR="00DB5FBA" w:rsidRPr="00F93FBD" w:rsidRDefault="00DB5FBA" w:rsidP="00F93FBD">
      <w:pPr>
        <w:jc w:val="center"/>
        <w:rPr>
          <w:rFonts w:ascii="Verdana" w:hAnsi="Verdana"/>
          <w:b/>
          <w:bCs/>
        </w:rPr>
      </w:pPr>
      <w:r w:rsidRPr="00F93FBD">
        <w:rPr>
          <w:rFonts w:ascii="Verdana" w:hAnsi="Verdana"/>
          <w:b/>
          <w:bCs/>
        </w:rPr>
        <w:t>Closing date: 25</w:t>
      </w:r>
      <w:r w:rsidRPr="00F93FBD">
        <w:rPr>
          <w:rFonts w:ascii="Verdana" w:hAnsi="Verdana"/>
          <w:b/>
          <w:bCs/>
          <w:vertAlign w:val="superscript"/>
        </w:rPr>
        <w:t>th</w:t>
      </w:r>
      <w:r w:rsidRPr="00F93FBD">
        <w:rPr>
          <w:rFonts w:ascii="Verdana" w:hAnsi="Verdana"/>
          <w:b/>
          <w:bCs/>
        </w:rPr>
        <w:t xml:space="preserve"> August 2025</w:t>
      </w:r>
    </w:p>
    <w:p w14:paraId="3B28A1ED" w14:textId="41EE299B" w:rsidR="00F93FBD" w:rsidRDefault="00F93FBD" w:rsidP="00F93FBD">
      <w:pPr>
        <w:jc w:val="center"/>
        <w:rPr>
          <w:rFonts w:ascii="Verdana" w:hAnsi="Verdana"/>
          <w:b/>
          <w:bCs/>
          <w:color w:val="0070C0"/>
          <w:sz w:val="28"/>
          <w:szCs w:val="28"/>
        </w:rPr>
      </w:pPr>
      <w:r w:rsidRPr="00F93FBD">
        <w:rPr>
          <w:rFonts w:ascii="Verdana" w:hAnsi="Verdana"/>
          <w:b/>
          <w:bCs/>
          <w:color w:val="0070C0"/>
          <w:sz w:val="28"/>
          <w:szCs w:val="28"/>
        </w:rPr>
        <w:t>KEY INFORMATION SUMMARY</w:t>
      </w:r>
    </w:p>
    <w:p w14:paraId="665F479C" w14:textId="77777777" w:rsidR="00E66D7F" w:rsidRDefault="00E66D7F" w:rsidP="00F93FBD">
      <w:pPr>
        <w:jc w:val="center"/>
        <w:rPr>
          <w:rFonts w:ascii="Verdana" w:hAnsi="Verdana"/>
          <w:b/>
          <w:bCs/>
          <w:color w:val="0070C0"/>
          <w:sz w:val="28"/>
          <w:szCs w:val="28"/>
        </w:rPr>
      </w:pPr>
    </w:p>
    <w:p w14:paraId="1CC077BA" w14:textId="7CB135C9" w:rsidR="00DB5FBA" w:rsidRPr="00E4274E" w:rsidRDefault="00DB5FBA" w:rsidP="00E66D7F">
      <w:pPr>
        <w:spacing w:after="0"/>
        <w:rPr>
          <w:rFonts w:ascii="Verdana" w:hAnsi="Verdana"/>
          <w:b/>
          <w:bCs/>
          <w:sz w:val="20"/>
          <w:szCs w:val="20"/>
        </w:rPr>
      </w:pPr>
      <w:r w:rsidRPr="00E4274E">
        <w:rPr>
          <w:rFonts w:ascii="Verdana" w:hAnsi="Verdana"/>
          <w:b/>
          <w:bCs/>
          <w:sz w:val="20"/>
          <w:szCs w:val="20"/>
        </w:rPr>
        <w:t>RESIDENTIAL</w:t>
      </w:r>
    </w:p>
    <w:p w14:paraId="35002E73" w14:textId="77777777" w:rsidR="00E4274E" w:rsidRPr="00E4274E" w:rsidRDefault="00E4274E" w:rsidP="00E66D7F">
      <w:pPr>
        <w:spacing w:after="0"/>
        <w:rPr>
          <w:rFonts w:ascii="Verdana" w:hAnsi="Verdana"/>
          <w:sz w:val="20"/>
          <w:szCs w:val="20"/>
        </w:rPr>
      </w:pPr>
      <w:r w:rsidRPr="00E4274E">
        <w:rPr>
          <w:rFonts w:ascii="Verdana" w:hAnsi="Verdana"/>
          <w:sz w:val="20"/>
          <w:szCs w:val="20"/>
        </w:rPr>
        <w:t xml:space="preserve">The need for additional housing is a national priority and also essential in the Sandyford Business District to provide accommodation for employees in the immediate area notably key workers in Beacon Hospital </w:t>
      </w:r>
      <w:proofErr w:type="gramStart"/>
      <w:r w:rsidRPr="00E4274E">
        <w:rPr>
          <w:rFonts w:ascii="Verdana" w:hAnsi="Verdana"/>
          <w:sz w:val="20"/>
          <w:szCs w:val="20"/>
        </w:rPr>
        <w:t>etc.</w:t>
      </w:r>
      <w:proofErr w:type="gramEnd"/>
    </w:p>
    <w:p w14:paraId="7BDD2E7E" w14:textId="1E03273C" w:rsidR="00E4274E" w:rsidRPr="00E4274E" w:rsidRDefault="00E4274E">
      <w:pPr>
        <w:rPr>
          <w:rFonts w:ascii="Verdana" w:hAnsi="Verdana"/>
          <w:sz w:val="20"/>
          <w:szCs w:val="20"/>
        </w:rPr>
      </w:pPr>
      <w:r w:rsidRPr="00E4274E">
        <w:rPr>
          <w:rFonts w:ascii="Verdana" w:hAnsi="Verdana"/>
          <w:sz w:val="20"/>
          <w:szCs w:val="20"/>
        </w:rPr>
        <w:t xml:space="preserve">It would be desirable if future housing continues to </w:t>
      </w:r>
      <w:proofErr w:type="gramStart"/>
      <w:r w:rsidRPr="00E4274E">
        <w:rPr>
          <w:rFonts w:ascii="Verdana" w:hAnsi="Verdana"/>
          <w:sz w:val="20"/>
          <w:szCs w:val="20"/>
        </w:rPr>
        <w:t>be built</w:t>
      </w:r>
      <w:proofErr w:type="gramEnd"/>
      <w:r w:rsidRPr="00E4274E">
        <w:rPr>
          <w:rFonts w:ascii="Verdana" w:hAnsi="Verdana"/>
          <w:sz w:val="20"/>
          <w:szCs w:val="20"/>
        </w:rPr>
        <w:t xml:space="preserve"> adjacent to public transport, particularly the Stillorgan, Sandyford and Central Park LUAS stations.</w:t>
      </w:r>
    </w:p>
    <w:p w14:paraId="2C152678" w14:textId="4BA6199F" w:rsidR="00E4274E" w:rsidRPr="00E4274E" w:rsidRDefault="00E4274E">
      <w:pPr>
        <w:rPr>
          <w:rFonts w:ascii="Verdana" w:hAnsi="Verdana"/>
          <w:sz w:val="20"/>
          <w:szCs w:val="20"/>
        </w:rPr>
      </w:pPr>
      <w:r w:rsidRPr="00E4274E">
        <w:rPr>
          <w:rFonts w:ascii="Verdana" w:hAnsi="Verdana"/>
          <w:sz w:val="20"/>
          <w:szCs w:val="20"/>
        </w:rPr>
        <w:t xml:space="preserve">There appears to be </w:t>
      </w:r>
      <w:proofErr w:type="gramStart"/>
      <w:r w:rsidRPr="00E4274E">
        <w:rPr>
          <w:rFonts w:ascii="Verdana" w:hAnsi="Verdana"/>
          <w:sz w:val="20"/>
          <w:szCs w:val="20"/>
        </w:rPr>
        <w:t>a large number of</w:t>
      </w:r>
      <w:proofErr w:type="gramEnd"/>
      <w:r w:rsidRPr="00E4274E">
        <w:rPr>
          <w:rFonts w:ascii="Verdana" w:hAnsi="Verdana"/>
          <w:sz w:val="20"/>
          <w:szCs w:val="20"/>
        </w:rPr>
        <w:t xml:space="preserve"> rental apartments available so future planning could comprise units for owner occupiers. </w:t>
      </w:r>
    </w:p>
    <w:p w14:paraId="192DFB26" w14:textId="77777777" w:rsidR="00E4274E" w:rsidRPr="00E13F4A" w:rsidRDefault="00E4274E" w:rsidP="00E66D7F">
      <w:pPr>
        <w:spacing w:after="0"/>
        <w:rPr>
          <w:rFonts w:ascii="Verdana" w:hAnsi="Verdana"/>
          <w:b/>
          <w:bCs/>
          <w:sz w:val="20"/>
          <w:szCs w:val="20"/>
        </w:rPr>
      </w:pPr>
    </w:p>
    <w:p w14:paraId="4598AD16" w14:textId="3E31D7BB" w:rsidR="00DB5FBA" w:rsidRPr="00E13F4A" w:rsidRDefault="00DB5FBA" w:rsidP="00E66D7F">
      <w:pPr>
        <w:spacing w:after="0"/>
        <w:rPr>
          <w:rFonts w:ascii="Verdana" w:hAnsi="Verdana"/>
          <w:b/>
          <w:bCs/>
          <w:sz w:val="20"/>
          <w:szCs w:val="20"/>
        </w:rPr>
      </w:pPr>
      <w:r w:rsidRPr="00E13F4A">
        <w:rPr>
          <w:rFonts w:ascii="Verdana" w:hAnsi="Verdana"/>
          <w:b/>
          <w:bCs/>
          <w:sz w:val="20"/>
          <w:szCs w:val="20"/>
        </w:rPr>
        <w:t>EMPLOYMENT</w:t>
      </w:r>
    </w:p>
    <w:p w14:paraId="6795D1BD" w14:textId="11829568" w:rsidR="00E4274E" w:rsidRPr="00113B1C" w:rsidRDefault="00E4274E" w:rsidP="00E66D7F">
      <w:pPr>
        <w:spacing w:after="0"/>
        <w:rPr>
          <w:rFonts w:ascii="Verdana" w:hAnsi="Verdana"/>
          <w:sz w:val="20"/>
          <w:szCs w:val="20"/>
        </w:rPr>
      </w:pPr>
      <w:r>
        <w:rPr>
          <w:rFonts w:ascii="Verdana" w:hAnsi="Verdana"/>
          <w:sz w:val="20"/>
          <w:szCs w:val="20"/>
        </w:rPr>
        <w:t xml:space="preserve">Additional Grade A, carbon neutral </w:t>
      </w:r>
      <w:r w:rsidR="00E13F4A">
        <w:rPr>
          <w:rFonts w:ascii="Verdana" w:hAnsi="Verdana"/>
          <w:sz w:val="20"/>
          <w:szCs w:val="20"/>
        </w:rPr>
        <w:t>offices needed for the long-term employment growth of the district</w:t>
      </w:r>
      <w:proofErr w:type="gramStart"/>
      <w:r w:rsidR="00E13F4A">
        <w:rPr>
          <w:rFonts w:ascii="Verdana" w:hAnsi="Verdana"/>
          <w:sz w:val="20"/>
          <w:szCs w:val="20"/>
        </w:rPr>
        <w:t xml:space="preserve">.  </w:t>
      </w:r>
      <w:proofErr w:type="gramEnd"/>
      <w:r w:rsidR="00E13F4A">
        <w:rPr>
          <w:rFonts w:ascii="Verdana" w:hAnsi="Verdana"/>
          <w:sz w:val="20"/>
          <w:szCs w:val="20"/>
        </w:rPr>
        <w:t>To support the future development of the area, Innovation Incubator Hubs would stimulate both foreign and, importantly, inward investment for start</w:t>
      </w:r>
      <w:r w:rsidR="00DB40F0">
        <w:rPr>
          <w:rFonts w:ascii="Verdana" w:hAnsi="Verdana"/>
          <w:sz w:val="20"/>
          <w:szCs w:val="20"/>
        </w:rPr>
        <w:t>-</w:t>
      </w:r>
      <w:r w:rsidR="00E13F4A">
        <w:rPr>
          <w:rFonts w:ascii="Verdana" w:hAnsi="Verdana"/>
          <w:sz w:val="20"/>
          <w:szCs w:val="20"/>
        </w:rPr>
        <w:t xml:space="preserve">ups </w:t>
      </w:r>
      <w:proofErr w:type="gramStart"/>
      <w:r w:rsidR="00E13F4A">
        <w:rPr>
          <w:rFonts w:ascii="Verdana" w:hAnsi="Verdana"/>
          <w:sz w:val="20"/>
          <w:szCs w:val="20"/>
        </w:rPr>
        <w:t>etc.</w:t>
      </w:r>
      <w:proofErr w:type="gramEnd"/>
      <w:r w:rsidR="0055036C">
        <w:rPr>
          <w:rFonts w:ascii="Verdana" w:hAnsi="Verdana"/>
          <w:sz w:val="20"/>
          <w:szCs w:val="20"/>
        </w:rPr>
        <w:t xml:space="preserve"> This will enable the District </w:t>
      </w:r>
      <w:r w:rsidR="0055036C" w:rsidRPr="00113B1C">
        <w:rPr>
          <w:rFonts w:ascii="Verdana" w:hAnsi="Verdana"/>
          <w:sz w:val="20"/>
          <w:szCs w:val="20"/>
        </w:rPr>
        <w:t>to anticipate the rapid transformation brought about by AI, Energy, Mobility, Robotics, Food</w:t>
      </w:r>
    </w:p>
    <w:p w14:paraId="5E051167" w14:textId="23143E1D" w:rsidR="00E13F4A" w:rsidRPr="00113B1C" w:rsidRDefault="00E13F4A">
      <w:pPr>
        <w:rPr>
          <w:rFonts w:ascii="Verdana" w:hAnsi="Verdana"/>
          <w:sz w:val="20"/>
          <w:szCs w:val="20"/>
        </w:rPr>
      </w:pPr>
      <w:r w:rsidRPr="00113B1C">
        <w:rPr>
          <w:rFonts w:ascii="Verdana" w:hAnsi="Verdana"/>
          <w:sz w:val="20"/>
          <w:szCs w:val="20"/>
        </w:rPr>
        <w:t xml:space="preserve">The area is currently home to large clusters e.g. Fintech, Medtech and ICT which should continue to expand. </w:t>
      </w:r>
    </w:p>
    <w:p w14:paraId="18532120" w14:textId="46A3597E" w:rsidR="00DB5FBA" w:rsidRDefault="00E13F4A">
      <w:pPr>
        <w:rPr>
          <w:rFonts w:ascii="Verdana" w:hAnsi="Verdana"/>
          <w:sz w:val="20"/>
          <w:szCs w:val="20"/>
        </w:rPr>
      </w:pPr>
      <w:r>
        <w:rPr>
          <w:rFonts w:ascii="Verdana" w:hAnsi="Verdana"/>
          <w:sz w:val="20"/>
          <w:szCs w:val="20"/>
        </w:rPr>
        <w:t>A purpose-built Conference Centre would be a positive addition to support both small, medium and large enterprises wishing to host events to attract customers and visitors.</w:t>
      </w:r>
    </w:p>
    <w:p w14:paraId="1EFEE441" w14:textId="5D7536B1" w:rsidR="00E13F4A" w:rsidRDefault="00E13F4A">
      <w:pPr>
        <w:rPr>
          <w:rFonts w:ascii="Verdana" w:hAnsi="Verdana"/>
          <w:sz w:val="20"/>
          <w:szCs w:val="20"/>
        </w:rPr>
      </w:pPr>
      <w:r>
        <w:rPr>
          <w:rFonts w:ascii="Verdana" w:hAnsi="Verdana"/>
          <w:sz w:val="20"/>
          <w:szCs w:val="20"/>
        </w:rPr>
        <w:t xml:space="preserve">A flexible </w:t>
      </w:r>
      <w:r w:rsidR="009D6C1B">
        <w:rPr>
          <w:rFonts w:ascii="Verdana" w:hAnsi="Verdana"/>
          <w:sz w:val="20"/>
          <w:szCs w:val="20"/>
        </w:rPr>
        <w:t>approach to brownfield sites and locations currently restricted to only two storeys would increase opportunities for additional commercial space.</w:t>
      </w:r>
    </w:p>
    <w:p w14:paraId="0700C02C" w14:textId="77777777" w:rsidR="009D6C1B" w:rsidRPr="00E4274E" w:rsidRDefault="009D6C1B">
      <w:pPr>
        <w:rPr>
          <w:rFonts w:ascii="Verdana" w:hAnsi="Verdana"/>
          <w:sz w:val="20"/>
          <w:szCs w:val="20"/>
        </w:rPr>
      </w:pPr>
    </w:p>
    <w:p w14:paraId="22A54F13" w14:textId="5B72F204" w:rsidR="00DB5FBA" w:rsidRPr="00E13F4A" w:rsidRDefault="00DB5FBA" w:rsidP="00E66D7F">
      <w:pPr>
        <w:spacing w:after="0"/>
        <w:rPr>
          <w:rFonts w:ascii="Verdana" w:hAnsi="Verdana"/>
          <w:b/>
          <w:bCs/>
          <w:sz w:val="20"/>
          <w:szCs w:val="20"/>
        </w:rPr>
      </w:pPr>
      <w:r w:rsidRPr="00E13F4A">
        <w:rPr>
          <w:rFonts w:ascii="Verdana" w:hAnsi="Verdana"/>
          <w:b/>
          <w:bCs/>
          <w:sz w:val="20"/>
          <w:szCs w:val="20"/>
        </w:rPr>
        <w:t>RETAIL &amp; SERVICES</w:t>
      </w:r>
    </w:p>
    <w:p w14:paraId="27164AFD" w14:textId="41C24A99" w:rsidR="00DB5FBA" w:rsidRDefault="009D6C1B" w:rsidP="00E66D7F">
      <w:pPr>
        <w:spacing w:after="0"/>
        <w:rPr>
          <w:rFonts w:ascii="Verdana" w:hAnsi="Verdana"/>
          <w:sz w:val="20"/>
          <w:szCs w:val="20"/>
        </w:rPr>
      </w:pPr>
      <w:r>
        <w:rPr>
          <w:rFonts w:ascii="Verdana" w:hAnsi="Verdana"/>
          <w:sz w:val="20"/>
          <w:szCs w:val="20"/>
        </w:rPr>
        <w:t xml:space="preserve">Retail </w:t>
      </w:r>
      <w:proofErr w:type="gramStart"/>
      <w:r>
        <w:rPr>
          <w:rFonts w:ascii="Verdana" w:hAnsi="Verdana"/>
          <w:sz w:val="20"/>
          <w:szCs w:val="20"/>
        </w:rPr>
        <w:t>is well provided</w:t>
      </w:r>
      <w:proofErr w:type="gramEnd"/>
      <w:r w:rsidR="00DB40F0">
        <w:rPr>
          <w:rFonts w:ascii="Verdana" w:hAnsi="Verdana"/>
          <w:sz w:val="20"/>
          <w:szCs w:val="20"/>
        </w:rPr>
        <w:t xml:space="preserve"> for</w:t>
      </w:r>
      <w:r>
        <w:rPr>
          <w:rFonts w:ascii="Verdana" w:hAnsi="Verdana"/>
          <w:sz w:val="20"/>
          <w:szCs w:val="20"/>
        </w:rPr>
        <w:t xml:space="preserve"> in Sandyford, Stillorgan however Central Park (which also serves South County Business Park) has </w:t>
      </w:r>
      <w:proofErr w:type="gramStart"/>
      <w:r>
        <w:rPr>
          <w:rFonts w:ascii="Verdana" w:hAnsi="Verdana"/>
          <w:sz w:val="20"/>
          <w:szCs w:val="20"/>
        </w:rPr>
        <w:t>a very limited</w:t>
      </w:r>
      <w:proofErr w:type="gramEnd"/>
      <w:r>
        <w:rPr>
          <w:rFonts w:ascii="Verdana" w:hAnsi="Verdana"/>
          <w:sz w:val="20"/>
          <w:szCs w:val="20"/>
        </w:rPr>
        <w:t xml:space="preserve"> offering for an area with</w:t>
      </w:r>
      <w:r w:rsidR="00B3077A">
        <w:rPr>
          <w:rFonts w:ascii="Verdana" w:hAnsi="Verdana"/>
          <w:sz w:val="20"/>
          <w:szCs w:val="20"/>
        </w:rPr>
        <w:t xml:space="preserve"> such</w:t>
      </w:r>
      <w:r>
        <w:rPr>
          <w:rFonts w:ascii="Verdana" w:hAnsi="Verdana"/>
          <w:sz w:val="20"/>
          <w:szCs w:val="20"/>
        </w:rPr>
        <w:t xml:space="preserve"> a large working and residential population</w:t>
      </w:r>
      <w:proofErr w:type="gramStart"/>
      <w:r>
        <w:rPr>
          <w:rFonts w:ascii="Verdana" w:hAnsi="Verdana"/>
          <w:sz w:val="20"/>
          <w:szCs w:val="20"/>
        </w:rPr>
        <w:t xml:space="preserve">.  </w:t>
      </w:r>
      <w:proofErr w:type="gramEnd"/>
      <w:r>
        <w:rPr>
          <w:rFonts w:ascii="Verdana" w:hAnsi="Verdana"/>
          <w:sz w:val="20"/>
          <w:szCs w:val="20"/>
        </w:rPr>
        <w:t>Retail and Services should grow exponentially in tandem with development.</w:t>
      </w:r>
    </w:p>
    <w:p w14:paraId="776C3062" w14:textId="3D34E40A" w:rsidR="009D6C1B" w:rsidRDefault="009D6C1B">
      <w:pPr>
        <w:rPr>
          <w:rFonts w:ascii="Verdana" w:hAnsi="Verdana"/>
          <w:sz w:val="20"/>
          <w:szCs w:val="20"/>
        </w:rPr>
      </w:pPr>
      <w:r>
        <w:rPr>
          <w:rFonts w:ascii="Verdana" w:hAnsi="Verdana"/>
          <w:sz w:val="20"/>
          <w:szCs w:val="20"/>
        </w:rPr>
        <w:t xml:space="preserve">Whilst </w:t>
      </w:r>
      <w:r w:rsidR="00B3077A">
        <w:rPr>
          <w:rFonts w:ascii="Verdana" w:hAnsi="Verdana"/>
          <w:sz w:val="20"/>
          <w:szCs w:val="20"/>
        </w:rPr>
        <w:t>there is currently a wide variety of shopping</w:t>
      </w:r>
      <w:r>
        <w:rPr>
          <w:rFonts w:ascii="Verdana" w:hAnsi="Verdana"/>
          <w:sz w:val="20"/>
          <w:szCs w:val="20"/>
        </w:rPr>
        <w:t xml:space="preserve"> and hospitality </w:t>
      </w:r>
      <w:r w:rsidR="00B3077A">
        <w:rPr>
          <w:rFonts w:ascii="Verdana" w:hAnsi="Verdana"/>
          <w:sz w:val="20"/>
          <w:szCs w:val="20"/>
        </w:rPr>
        <w:t xml:space="preserve">offerings </w:t>
      </w:r>
      <w:r>
        <w:rPr>
          <w:rFonts w:ascii="Verdana" w:hAnsi="Verdana"/>
          <w:sz w:val="20"/>
          <w:szCs w:val="20"/>
        </w:rPr>
        <w:t xml:space="preserve">currently </w:t>
      </w:r>
      <w:r w:rsidR="00B3077A">
        <w:rPr>
          <w:rFonts w:ascii="Verdana" w:hAnsi="Verdana"/>
          <w:sz w:val="20"/>
          <w:szCs w:val="20"/>
        </w:rPr>
        <w:t>available,</w:t>
      </w:r>
      <w:r>
        <w:rPr>
          <w:rFonts w:ascii="Verdana" w:hAnsi="Verdana"/>
          <w:sz w:val="20"/>
          <w:szCs w:val="20"/>
        </w:rPr>
        <w:t xml:space="preserve"> leisure and recreational facilities are</w:t>
      </w:r>
      <w:r w:rsidR="00B3077A">
        <w:rPr>
          <w:rFonts w:ascii="Verdana" w:hAnsi="Verdana"/>
          <w:sz w:val="20"/>
          <w:szCs w:val="20"/>
        </w:rPr>
        <w:t xml:space="preserve"> lacking</w:t>
      </w:r>
      <w:proofErr w:type="gramStart"/>
      <w:r w:rsidR="00B3077A">
        <w:rPr>
          <w:rFonts w:ascii="Verdana" w:hAnsi="Verdana"/>
          <w:sz w:val="20"/>
          <w:szCs w:val="20"/>
        </w:rPr>
        <w:t xml:space="preserve">.  </w:t>
      </w:r>
      <w:proofErr w:type="gramEnd"/>
      <w:r w:rsidR="00B3077A">
        <w:rPr>
          <w:rFonts w:ascii="Verdana" w:hAnsi="Verdana"/>
          <w:sz w:val="20"/>
          <w:szCs w:val="20"/>
        </w:rPr>
        <w:t xml:space="preserve">An increase in sports, cultural and civic amenities would </w:t>
      </w:r>
      <w:proofErr w:type="gramStart"/>
      <w:r w:rsidR="00B3077A">
        <w:rPr>
          <w:rFonts w:ascii="Verdana" w:hAnsi="Verdana"/>
          <w:sz w:val="20"/>
          <w:szCs w:val="20"/>
        </w:rPr>
        <w:t>greatly enhance</w:t>
      </w:r>
      <w:proofErr w:type="gramEnd"/>
      <w:r w:rsidR="00B3077A">
        <w:rPr>
          <w:rFonts w:ascii="Verdana" w:hAnsi="Verdana"/>
          <w:sz w:val="20"/>
          <w:szCs w:val="20"/>
        </w:rPr>
        <w:t xml:space="preserve"> the area and improve the wellbeing of employees and residents alike.</w:t>
      </w:r>
    </w:p>
    <w:p w14:paraId="4480ADFF" w14:textId="7E866B6B" w:rsidR="00B3077A" w:rsidRDefault="00DB40F0">
      <w:pPr>
        <w:rPr>
          <w:rFonts w:ascii="Verdana" w:hAnsi="Verdana"/>
          <w:sz w:val="20"/>
          <w:szCs w:val="20"/>
        </w:rPr>
      </w:pPr>
      <w:r>
        <w:rPr>
          <w:rFonts w:ascii="Verdana" w:hAnsi="Verdana"/>
          <w:sz w:val="20"/>
          <w:szCs w:val="20"/>
        </w:rPr>
        <w:t>Hotel accommodation is in short supply following the closure of the Beacon Hotel, additional facilities would support the business community in particular.</w:t>
      </w:r>
    </w:p>
    <w:p w14:paraId="1FB29B65" w14:textId="77777777" w:rsidR="00E66D7F" w:rsidRDefault="00E66D7F">
      <w:pPr>
        <w:rPr>
          <w:rFonts w:ascii="Verdana" w:hAnsi="Verdana"/>
          <w:sz w:val="20"/>
          <w:szCs w:val="20"/>
        </w:rPr>
      </w:pPr>
    </w:p>
    <w:p w14:paraId="5D4C64AD" w14:textId="77777777" w:rsidR="00FA3791" w:rsidRDefault="00DB5FBA" w:rsidP="00E66D7F">
      <w:pPr>
        <w:spacing w:after="0"/>
        <w:rPr>
          <w:rFonts w:ascii="Verdana" w:hAnsi="Verdana"/>
          <w:b/>
          <w:bCs/>
          <w:sz w:val="20"/>
          <w:szCs w:val="20"/>
        </w:rPr>
      </w:pPr>
      <w:r w:rsidRPr="00B3077A">
        <w:rPr>
          <w:rFonts w:ascii="Verdana" w:hAnsi="Verdana"/>
          <w:b/>
          <w:bCs/>
          <w:sz w:val="20"/>
          <w:szCs w:val="20"/>
        </w:rPr>
        <w:t>COMMUNITY FACILITIES &amp; SOCIAL INFRASTRUCTURE</w:t>
      </w:r>
    </w:p>
    <w:p w14:paraId="5C58FA57" w14:textId="438053DC" w:rsidR="00DB5FBA" w:rsidRDefault="00B3077A" w:rsidP="00E66D7F">
      <w:pPr>
        <w:spacing w:after="0"/>
        <w:rPr>
          <w:rFonts w:ascii="Verdana" w:hAnsi="Verdana"/>
          <w:sz w:val="20"/>
          <w:szCs w:val="20"/>
        </w:rPr>
      </w:pPr>
      <w:r>
        <w:rPr>
          <w:rFonts w:ascii="Verdana" w:hAnsi="Verdana"/>
          <w:sz w:val="20"/>
          <w:szCs w:val="20"/>
        </w:rPr>
        <w:t>The addition of the following would significantly improve facilities for both employees, residents and encourage visitors in addition to changing the perception of ‘industrial estates’ to a World Class Business District:</w:t>
      </w:r>
    </w:p>
    <w:p w14:paraId="39395DFA" w14:textId="05B6B007" w:rsidR="00B3077A" w:rsidRDefault="00B3077A" w:rsidP="00B3077A">
      <w:pPr>
        <w:pStyle w:val="ListParagraph"/>
        <w:numPr>
          <w:ilvl w:val="0"/>
          <w:numId w:val="1"/>
        </w:numPr>
        <w:rPr>
          <w:rFonts w:ascii="Verdana" w:hAnsi="Verdana"/>
          <w:sz w:val="20"/>
          <w:szCs w:val="20"/>
        </w:rPr>
      </w:pPr>
      <w:r w:rsidRPr="00E1012D">
        <w:rPr>
          <w:rFonts w:ascii="Verdana" w:hAnsi="Verdana"/>
          <w:b/>
          <w:bCs/>
          <w:sz w:val="20"/>
          <w:szCs w:val="20"/>
        </w:rPr>
        <w:t>Civic centre</w:t>
      </w:r>
      <w:r w:rsidR="00E1012D" w:rsidRPr="00E1012D">
        <w:rPr>
          <w:rFonts w:ascii="Verdana" w:hAnsi="Verdana"/>
          <w:b/>
          <w:bCs/>
          <w:sz w:val="20"/>
          <w:szCs w:val="20"/>
        </w:rPr>
        <w:t>:</w:t>
      </w:r>
      <w:r>
        <w:rPr>
          <w:rFonts w:ascii="Verdana" w:hAnsi="Verdana"/>
          <w:sz w:val="20"/>
          <w:szCs w:val="20"/>
        </w:rPr>
        <w:t xml:space="preserve"> (e.g. the Imaginosity building) to house community facilities, a library, hot desking for residents </w:t>
      </w:r>
      <w:proofErr w:type="gramStart"/>
      <w:r>
        <w:rPr>
          <w:rFonts w:ascii="Verdana" w:hAnsi="Verdana"/>
          <w:sz w:val="20"/>
          <w:szCs w:val="20"/>
        </w:rPr>
        <w:t>etc.</w:t>
      </w:r>
      <w:proofErr w:type="gramEnd"/>
      <w:r>
        <w:rPr>
          <w:rFonts w:ascii="Verdana" w:hAnsi="Verdana"/>
          <w:sz w:val="20"/>
          <w:szCs w:val="20"/>
        </w:rPr>
        <w:t xml:space="preserve"> </w:t>
      </w:r>
      <w:proofErr w:type="gramStart"/>
      <w:r>
        <w:rPr>
          <w:rFonts w:ascii="Verdana" w:hAnsi="Verdana"/>
          <w:sz w:val="20"/>
          <w:szCs w:val="20"/>
        </w:rPr>
        <w:t>etc.</w:t>
      </w:r>
      <w:proofErr w:type="gramEnd"/>
    </w:p>
    <w:p w14:paraId="4696BCA2" w14:textId="74B454BD" w:rsidR="00B3077A" w:rsidRDefault="00E1012D" w:rsidP="00B3077A">
      <w:pPr>
        <w:pStyle w:val="ListParagraph"/>
        <w:numPr>
          <w:ilvl w:val="0"/>
          <w:numId w:val="1"/>
        </w:numPr>
        <w:rPr>
          <w:rFonts w:ascii="Verdana" w:hAnsi="Verdana"/>
          <w:sz w:val="20"/>
          <w:szCs w:val="20"/>
        </w:rPr>
      </w:pPr>
      <w:r>
        <w:rPr>
          <w:rFonts w:ascii="Verdana" w:hAnsi="Verdana"/>
          <w:b/>
          <w:bCs/>
          <w:sz w:val="20"/>
          <w:szCs w:val="20"/>
        </w:rPr>
        <w:t xml:space="preserve">Civic Park: </w:t>
      </w:r>
      <w:r w:rsidRPr="00E1012D">
        <w:rPr>
          <w:rFonts w:ascii="Verdana" w:hAnsi="Verdana"/>
          <w:sz w:val="20"/>
          <w:szCs w:val="20"/>
        </w:rPr>
        <w:t>to provide r</w:t>
      </w:r>
      <w:r w:rsidR="00B3077A" w:rsidRPr="00E1012D">
        <w:rPr>
          <w:rFonts w:ascii="Verdana" w:hAnsi="Verdana"/>
          <w:sz w:val="20"/>
          <w:szCs w:val="20"/>
        </w:rPr>
        <w:t>ecreational amenities</w:t>
      </w:r>
      <w:r>
        <w:rPr>
          <w:rFonts w:ascii="Verdana" w:hAnsi="Verdana"/>
          <w:b/>
          <w:bCs/>
          <w:sz w:val="20"/>
          <w:szCs w:val="20"/>
        </w:rPr>
        <w:t xml:space="preserve"> </w:t>
      </w:r>
      <w:r w:rsidR="00B3077A">
        <w:rPr>
          <w:rFonts w:ascii="Verdana" w:hAnsi="Verdana"/>
          <w:sz w:val="20"/>
          <w:szCs w:val="20"/>
        </w:rPr>
        <w:t xml:space="preserve">for walking, outdoor exercises </w:t>
      </w:r>
      <w:proofErr w:type="gramStart"/>
      <w:r w:rsidR="00B3077A">
        <w:rPr>
          <w:rFonts w:ascii="Verdana" w:hAnsi="Verdana"/>
          <w:sz w:val="20"/>
          <w:szCs w:val="20"/>
        </w:rPr>
        <w:t>etc.</w:t>
      </w:r>
      <w:proofErr w:type="gramEnd"/>
    </w:p>
    <w:p w14:paraId="65987F3A" w14:textId="4836E442" w:rsidR="00FA3791" w:rsidRDefault="00FA3791" w:rsidP="00B3077A">
      <w:pPr>
        <w:pStyle w:val="ListParagraph"/>
        <w:numPr>
          <w:ilvl w:val="0"/>
          <w:numId w:val="1"/>
        </w:numPr>
        <w:rPr>
          <w:rFonts w:ascii="Verdana" w:hAnsi="Verdana"/>
          <w:sz w:val="20"/>
          <w:szCs w:val="20"/>
        </w:rPr>
      </w:pPr>
      <w:r w:rsidRPr="00E1012D">
        <w:rPr>
          <w:rFonts w:ascii="Verdana" w:hAnsi="Verdana"/>
          <w:b/>
          <w:bCs/>
          <w:sz w:val="20"/>
          <w:szCs w:val="20"/>
        </w:rPr>
        <w:t>Sports facilities:</w:t>
      </w:r>
      <w:r>
        <w:rPr>
          <w:rFonts w:ascii="Verdana" w:hAnsi="Verdana"/>
          <w:sz w:val="20"/>
          <w:szCs w:val="20"/>
        </w:rPr>
        <w:t xml:space="preserve"> padel courts, basketball, pickleball, ultimate frisbee, footgolf, wallball </w:t>
      </w:r>
      <w:proofErr w:type="gramStart"/>
      <w:r>
        <w:rPr>
          <w:rFonts w:ascii="Verdana" w:hAnsi="Verdana"/>
          <w:sz w:val="20"/>
          <w:szCs w:val="20"/>
        </w:rPr>
        <w:t>etc.</w:t>
      </w:r>
      <w:proofErr w:type="gramEnd"/>
    </w:p>
    <w:p w14:paraId="164371C5" w14:textId="39A134D9" w:rsidR="00B3077A" w:rsidRDefault="00B3077A" w:rsidP="00B3077A">
      <w:pPr>
        <w:pStyle w:val="ListParagraph"/>
        <w:numPr>
          <w:ilvl w:val="0"/>
          <w:numId w:val="1"/>
        </w:numPr>
        <w:rPr>
          <w:rFonts w:ascii="Verdana" w:hAnsi="Verdana"/>
          <w:sz w:val="20"/>
          <w:szCs w:val="20"/>
        </w:rPr>
      </w:pPr>
      <w:r w:rsidRPr="00E1012D">
        <w:rPr>
          <w:rFonts w:ascii="Verdana" w:hAnsi="Verdana"/>
          <w:b/>
          <w:bCs/>
          <w:sz w:val="20"/>
          <w:szCs w:val="20"/>
        </w:rPr>
        <w:t>Amphitheatre</w:t>
      </w:r>
      <w:r w:rsidR="00E1012D" w:rsidRPr="00E1012D">
        <w:rPr>
          <w:rFonts w:ascii="Verdana" w:hAnsi="Verdana"/>
          <w:b/>
          <w:bCs/>
          <w:sz w:val="20"/>
          <w:szCs w:val="20"/>
        </w:rPr>
        <w:t>:</w:t>
      </w:r>
      <w:r w:rsidR="00E1012D">
        <w:rPr>
          <w:rFonts w:ascii="Verdana" w:hAnsi="Verdana"/>
          <w:sz w:val="20"/>
          <w:szCs w:val="20"/>
        </w:rPr>
        <w:t xml:space="preserve"> to host </w:t>
      </w:r>
      <w:r>
        <w:rPr>
          <w:rFonts w:ascii="Verdana" w:hAnsi="Verdana"/>
          <w:sz w:val="20"/>
          <w:szCs w:val="20"/>
        </w:rPr>
        <w:t>outdoor events such as concerts, talks, demonstrations.</w:t>
      </w:r>
    </w:p>
    <w:p w14:paraId="64A79AFB" w14:textId="06B2091F" w:rsidR="00B3077A" w:rsidRDefault="00B3077A" w:rsidP="00B3077A">
      <w:pPr>
        <w:pStyle w:val="ListParagraph"/>
        <w:numPr>
          <w:ilvl w:val="0"/>
          <w:numId w:val="1"/>
        </w:numPr>
        <w:rPr>
          <w:rFonts w:ascii="Verdana" w:hAnsi="Verdana"/>
          <w:sz w:val="20"/>
          <w:szCs w:val="20"/>
        </w:rPr>
      </w:pPr>
      <w:r w:rsidRPr="00E1012D">
        <w:rPr>
          <w:rFonts w:ascii="Verdana" w:hAnsi="Verdana"/>
          <w:b/>
          <w:bCs/>
          <w:sz w:val="20"/>
          <w:szCs w:val="20"/>
        </w:rPr>
        <w:t>Theatre/Cinema</w:t>
      </w:r>
      <w:r w:rsidR="00E1012D" w:rsidRPr="00E1012D">
        <w:rPr>
          <w:rFonts w:ascii="Verdana" w:hAnsi="Verdana"/>
          <w:b/>
          <w:bCs/>
          <w:sz w:val="20"/>
          <w:szCs w:val="20"/>
        </w:rPr>
        <w:t>:</w:t>
      </w:r>
      <w:r w:rsidR="00E1012D">
        <w:rPr>
          <w:rFonts w:ascii="Verdana" w:hAnsi="Verdana"/>
          <w:sz w:val="20"/>
          <w:szCs w:val="20"/>
        </w:rPr>
        <w:t xml:space="preserve"> with bar </w:t>
      </w:r>
      <w:proofErr w:type="gramStart"/>
      <w:r w:rsidR="00E1012D">
        <w:rPr>
          <w:rFonts w:ascii="Verdana" w:hAnsi="Verdana"/>
          <w:sz w:val="20"/>
          <w:szCs w:val="20"/>
        </w:rPr>
        <w:t>etc.</w:t>
      </w:r>
      <w:proofErr w:type="gramEnd"/>
      <w:r w:rsidR="00E1012D">
        <w:rPr>
          <w:rFonts w:ascii="Verdana" w:hAnsi="Verdana"/>
          <w:sz w:val="20"/>
          <w:szCs w:val="20"/>
        </w:rPr>
        <w:t xml:space="preserve"> similar to</w:t>
      </w:r>
      <w:r w:rsidR="00DB40F0">
        <w:rPr>
          <w:rFonts w:ascii="Verdana" w:hAnsi="Verdana"/>
          <w:sz w:val="20"/>
          <w:szCs w:val="20"/>
        </w:rPr>
        <w:t xml:space="preserve"> the</w:t>
      </w:r>
      <w:r w:rsidR="00E1012D">
        <w:rPr>
          <w:rFonts w:ascii="Verdana" w:hAnsi="Verdana"/>
          <w:sz w:val="20"/>
          <w:szCs w:val="20"/>
        </w:rPr>
        <w:t xml:space="preserve"> Pavilion Theatre</w:t>
      </w:r>
    </w:p>
    <w:p w14:paraId="03AE966A" w14:textId="62158EC7" w:rsidR="00B3077A" w:rsidRDefault="00B3077A" w:rsidP="00B3077A">
      <w:pPr>
        <w:pStyle w:val="ListParagraph"/>
        <w:numPr>
          <w:ilvl w:val="0"/>
          <w:numId w:val="1"/>
        </w:numPr>
        <w:rPr>
          <w:rFonts w:ascii="Verdana" w:hAnsi="Verdana"/>
          <w:sz w:val="20"/>
          <w:szCs w:val="20"/>
        </w:rPr>
      </w:pPr>
      <w:r w:rsidRPr="00E1012D">
        <w:rPr>
          <w:rFonts w:ascii="Verdana" w:hAnsi="Verdana"/>
          <w:b/>
          <w:bCs/>
          <w:sz w:val="20"/>
          <w:szCs w:val="20"/>
        </w:rPr>
        <w:t>Swimming pool</w:t>
      </w:r>
      <w:r w:rsidR="00E1012D" w:rsidRPr="00E1012D">
        <w:rPr>
          <w:rFonts w:ascii="Verdana" w:hAnsi="Verdana"/>
          <w:b/>
          <w:bCs/>
          <w:sz w:val="20"/>
          <w:szCs w:val="20"/>
        </w:rPr>
        <w:t>:</w:t>
      </w:r>
      <w:r>
        <w:rPr>
          <w:rFonts w:ascii="Verdana" w:hAnsi="Verdana"/>
          <w:sz w:val="20"/>
          <w:szCs w:val="20"/>
        </w:rPr>
        <w:t xml:space="preserve"> none in the immediate area</w:t>
      </w:r>
    </w:p>
    <w:p w14:paraId="4A2A47A2" w14:textId="77777777" w:rsidR="00B3077A" w:rsidRDefault="00B3077A" w:rsidP="00B3077A">
      <w:pPr>
        <w:pStyle w:val="ListParagraph"/>
        <w:rPr>
          <w:rFonts w:ascii="Verdana" w:hAnsi="Verdana"/>
          <w:sz w:val="20"/>
          <w:szCs w:val="20"/>
        </w:rPr>
      </w:pPr>
    </w:p>
    <w:p w14:paraId="12C6A638" w14:textId="77777777" w:rsidR="00E66D7F" w:rsidRDefault="00E66D7F" w:rsidP="00B3077A">
      <w:pPr>
        <w:pStyle w:val="ListParagraph"/>
        <w:rPr>
          <w:rFonts w:ascii="Verdana" w:hAnsi="Verdana"/>
          <w:sz w:val="20"/>
          <w:szCs w:val="20"/>
        </w:rPr>
      </w:pPr>
    </w:p>
    <w:p w14:paraId="541C3715" w14:textId="77777777" w:rsidR="00E66D7F" w:rsidRDefault="00E66D7F" w:rsidP="00B3077A">
      <w:pPr>
        <w:pStyle w:val="ListParagraph"/>
        <w:rPr>
          <w:rFonts w:ascii="Verdana" w:hAnsi="Verdana"/>
          <w:sz w:val="20"/>
          <w:szCs w:val="20"/>
        </w:rPr>
      </w:pPr>
    </w:p>
    <w:p w14:paraId="3631AEC9" w14:textId="77777777" w:rsidR="00E66D7F" w:rsidRPr="00B3077A" w:rsidRDefault="00E66D7F" w:rsidP="00B3077A">
      <w:pPr>
        <w:pStyle w:val="ListParagraph"/>
        <w:rPr>
          <w:rFonts w:ascii="Verdana" w:hAnsi="Verdana"/>
          <w:sz w:val="20"/>
          <w:szCs w:val="20"/>
        </w:rPr>
      </w:pPr>
    </w:p>
    <w:p w14:paraId="463B29DD" w14:textId="769DE1C2" w:rsidR="00DB5FBA" w:rsidRPr="00FA3791" w:rsidRDefault="00DB5FBA" w:rsidP="00E66D7F">
      <w:pPr>
        <w:spacing w:after="0"/>
        <w:rPr>
          <w:rFonts w:ascii="Verdana" w:hAnsi="Verdana"/>
          <w:b/>
          <w:bCs/>
          <w:sz w:val="20"/>
          <w:szCs w:val="20"/>
        </w:rPr>
      </w:pPr>
      <w:r w:rsidRPr="00FA3791">
        <w:rPr>
          <w:rFonts w:ascii="Verdana" w:hAnsi="Verdana"/>
          <w:b/>
          <w:bCs/>
          <w:sz w:val="20"/>
          <w:szCs w:val="20"/>
        </w:rPr>
        <w:t>CONNECTIVITY &amp; PERMEABILITY</w:t>
      </w:r>
    </w:p>
    <w:p w14:paraId="535C29BC" w14:textId="0F548C16" w:rsidR="00B3077A" w:rsidRDefault="00E1012D" w:rsidP="00E66D7F">
      <w:pPr>
        <w:spacing w:after="0"/>
        <w:rPr>
          <w:rFonts w:ascii="Verdana" w:hAnsi="Verdana"/>
          <w:sz w:val="20"/>
          <w:szCs w:val="20"/>
        </w:rPr>
      </w:pPr>
      <w:r>
        <w:rPr>
          <w:rFonts w:ascii="Verdana" w:hAnsi="Verdana"/>
          <w:sz w:val="20"/>
          <w:szCs w:val="20"/>
        </w:rPr>
        <w:t xml:space="preserve">The current lack of </w:t>
      </w:r>
      <w:r w:rsidRPr="00E1012D">
        <w:rPr>
          <w:rFonts w:ascii="Verdana" w:hAnsi="Verdana"/>
          <w:b/>
          <w:bCs/>
          <w:sz w:val="20"/>
          <w:szCs w:val="20"/>
        </w:rPr>
        <w:t>c</w:t>
      </w:r>
      <w:r w:rsidR="00B3077A" w:rsidRPr="00E1012D">
        <w:rPr>
          <w:rFonts w:ascii="Verdana" w:hAnsi="Verdana"/>
          <w:b/>
          <w:bCs/>
          <w:sz w:val="20"/>
          <w:szCs w:val="20"/>
        </w:rPr>
        <w:t>ycle routes</w:t>
      </w:r>
      <w:r w:rsidR="00B3077A">
        <w:rPr>
          <w:rFonts w:ascii="Verdana" w:hAnsi="Verdana"/>
          <w:sz w:val="20"/>
          <w:szCs w:val="20"/>
        </w:rPr>
        <w:t xml:space="preserve"> throughout the district</w:t>
      </w:r>
      <w:r>
        <w:rPr>
          <w:rFonts w:ascii="Verdana" w:hAnsi="Verdana"/>
          <w:sz w:val="20"/>
          <w:szCs w:val="20"/>
        </w:rPr>
        <w:t xml:space="preserve"> restrict</w:t>
      </w:r>
      <w:r w:rsidR="00DB40F0">
        <w:rPr>
          <w:rFonts w:ascii="Verdana" w:hAnsi="Verdana"/>
          <w:sz w:val="20"/>
          <w:szCs w:val="20"/>
        </w:rPr>
        <w:t>s</w:t>
      </w:r>
      <w:r>
        <w:rPr>
          <w:rFonts w:ascii="Verdana" w:hAnsi="Verdana"/>
          <w:sz w:val="20"/>
          <w:szCs w:val="20"/>
        </w:rPr>
        <w:t xml:space="preserve"> cycling and mobility throughout the district.</w:t>
      </w:r>
    </w:p>
    <w:p w14:paraId="5E34DD0C" w14:textId="02FEDA68" w:rsidR="00E1012D" w:rsidRDefault="00E1012D">
      <w:pPr>
        <w:rPr>
          <w:rFonts w:ascii="Verdana" w:hAnsi="Verdana"/>
          <w:sz w:val="20"/>
          <w:szCs w:val="20"/>
        </w:rPr>
      </w:pPr>
      <w:r w:rsidRPr="00E1012D">
        <w:rPr>
          <w:rFonts w:ascii="Verdana" w:hAnsi="Verdana"/>
          <w:b/>
          <w:bCs/>
          <w:sz w:val="20"/>
          <w:szCs w:val="20"/>
        </w:rPr>
        <w:t>Mobility Hubs</w:t>
      </w:r>
      <w:r>
        <w:rPr>
          <w:rFonts w:ascii="Verdana" w:hAnsi="Verdana"/>
          <w:sz w:val="20"/>
          <w:szCs w:val="20"/>
        </w:rPr>
        <w:t xml:space="preserve"> located in each of the four business parks would be a significant start to increasing mobility within the entire district. Centralised car parking facilities (with ample EV charging available) with the facility to rent electric, cargo bikes, cars and taxis at the same location would benefit permeability.</w:t>
      </w:r>
    </w:p>
    <w:p w14:paraId="5CCD997C" w14:textId="681444A3" w:rsidR="00FA3791" w:rsidRDefault="00FA3791">
      <w:pPr>
        <w:rPr>
          <w:rFonts w:ascii="Verdana" w:hAnsi="Verdana"/>
          <w:sz w:val="20"/>
          <w:szCs w:val="20"/>
        </w:rPr>
      </w:pPr>
      <w:r w:rsidRPr="00E1012D">
        <w:rPr>
          <w:rFonts w:ascii="Verdana" w:hAnsi="Verdana"/>
          <w:b/>
          <w:bCs/>
          <w:sz w:val="20"/>
          <w:szCs w:val="20"/>
        </w:rPr>
        <w:t>A ‘circle’ bus</w:t>
      </w:r>
      <w:r>
        <w:rPr>
          <w:rFonts w:ascii="Verdana" w:hAnsi="Verdana"/>
          <w:sz w:val="20"/>
          <w:szCs w:val="20"/>
        </w:rPr>
        <w:t xml:space="preserve"> </w:t>
      </w:r>
      <w:r w:rsidR="00E1012D">
        <w:rPr>
          <w:rFonts w:ascii="Verdana" w:hAnsi="Verdana"/>
          <w:sz w:val="20"/>
          <w:szCs w:val="20"/>
        </w:rPr>
        <w:t>facility would</w:t>
      </w:r>
      <w:r>
        <w:rPr>
          <w:rFonts w:ascii="Verdana" w:hAnsi="Verdana"/>
          <w:sz w:val="20"/>
          <w:szCs w:val="20"/>
        </w:rPr>
        <w:t xml:space="preserve"> create connectivity between the four business parks and particularly to provide transport for those working and living in Central Park and South County Business Parks to the wide range of retail and services in Sandyford and Stillorgan Business Parks.</w:t>
      </w:r>
    </w:p>
    <w:p w14:paraId="536B0222" w14:textId="77777777" w:rsidR="00E1012D" w:rsidRDefault="00E1012D">
      <w:pPr>
        <w:rPr>
          <w:rFonts w:ascii="Verdana" w:hAnsi="Verdana"/>
          <w:sz w:val="20"/>
          <w:szCs w:val="20"/>
        </w:rPr>
      </w:pPr>
    </w:p>
    <w:p w14:paraId="65E6FB11" w14:textId="107AD5DC" w:rsidR="00DB5FBA" w:rsidRDefault="00DB5FBA" w:rsidP="00E66D7F">
      <w:pPr>
        <w:spacing w:after="0"/>
        <w:rPr>
          <w:rFonts w:ascii="Verdana" w:hAnsi="Verdana"/>
          <w:b/>
          <w:bCs/>
          <w:sz w:val="20"/>
          <w:szCs w:val="20"/>
        </w:rPr>
      </w:pPr>
      <w:r w:rsidRPr="00E1012D">
        <w:rPr>
          <w:rFonts w:ascii="Verdana" w:hAnsi="Verdana"/>
          <w:b/>
          <w:bCs/>
          <w:sz w:val="20"/>
          <w:szCs w:val="20"/>
        </w:rPr>
        <w:t>PUBLIC REALM &amp; PLACEMAKING</w:t>
      </w:r>
    </w:p>
    <w:p w14:paraId="4E8C0129" w14:textId="46183994" w:rsidR="00E1012D" w:rsidRDefault="00E1012D" w:rsidP="00E66D7F">
      <w:pPr>
        <w:spacing w:after="0"/>
        <w:rPr>
          <w:rFonts w:ascii="Verdana" w:hAnsi="Verdana"/>
          <w:sz w:val="20"/>
          <w:szCs w:val="20"/>
        </w:rPr>
      </w:pPr>
      <w:r w:rsidRPr="00857188">
        <w:rPr>
          <w:rFonts w:ascii="Verdana" w:hAnsi="Verdana"/>
          <w:sz w:val="20"/>
          <w:szCs w:val="20"/>
        </w:rPr>
        <w:t>In view of the number of people working and living in the area, there is a lack o</w:t>
      </w:r>
      <w:r w:rsidR="00857188">
        <w:rPr>
          <w:rFonts w:ascii="Verdana" w:hAnsi="Verdana"/>
          <w:sz w:val="20"/>
          <w:szCs w:val="20"/>
        </w:rPr>
        <w:t>f</w:t>
      </w:r>
      <w:r w:rsidRPr="00857188">
        <w:rPr>
          <w:rFonts w:ascii="Verdana" w:hAnsi="Verdana"/>
          <w:sz w:val="20"/>
          <w:szCs w:val="20"/>
        </w:rPr>
        <w:t xml:space="preserve"> large public green spaces for employees and residents. </w:t>
      </w:r>
    </w:p>
    <w:p w14:paraId="6EADD05B" w14:textId="46F6AECF" w:rsidR="00DB40F0" w:rsidRDefault="00DB40F0">
      <w:pPr>
        <w:rPr>
          <w:rFonts w:ascii="Verdana" w:hAnsi="Verdana"/>
          <w:sz w:val="20"/>
          <w:szCs w:val="20"/>
        </w:rPr>
      </w:pPr>
      <w:r>
        <w:rPr>
          <w:rFonts w:ascii="Verdana" w:hAnsi="Verdana"/>
          <w:sz w:val="20"/>
          <w:szCs w:val="20"/>
        </w:rPr>
        <w:t>The creation of the Civic Park on the corner of Carmanhall Road and Corrig Road would be a major development in the area to the benefit of all.</w:t>
      </w:r>
    </w:p>
    <w:p w14:paraId="25A18DC8" w14:textId="2130660A" w:rsidR="00DB40F0" w:rsidRDefault="00DB40F0">
      <w:pPr>
        <w:rPr>
          <w:rFonts w:ascii="Verdana" w:hAnsi="Verdana"/>
          <w:sz w:val="20"/>
          <w:szCs w:val="20"/>
        </w:rPr>
      </w:pPr>
      <w:r>
        <w:rPr>
          <w:rFonts w:ascii="Verdana" w:hAnsi="Verdana"/>
          <w:sz w:val="20"/>
          <w:szCs w:val="20"/>
        </w:rPr>
        <w:t>In general, the addition of amenities itemised under ‘</w:t>
      </w:r>
      <w:r w:rsidRPr="00DB40F0">
        <w:rPr>
          <w:rFonts w:ascii="Verdana" w:hAnsi="Verdana"/>
          <w:i/>
          <w:iCs/>
          <w:sz w:val="20"/>
          <w:szCs w:val="20"/>
        </w:rPr>
        <w:t>Community Facilities and Social</w:t>
      </w:r>
      <w:r>
        <w:rPr>
          <w:rFonts w:ascii="Verdana" w:hAnsi="Verdana"/>
          <w:sz w:val="20"/>
          <w:szCs w:val="20"/>
        </w:rPr>
        <w:t xml:space="preserve"> </w:t>
      </w:r>
      <w:r w:rsidRPr="00DB40F0">
        <w:rPr>
          <w:rFonts w:ascii="Verdana" w:hAnsi="Verdana"/>
          <w:i/>
          <w:iCs/>
          <w:sz w:val="20"/>
          <w:szCs w:val="20"/>
        </w:rPr>
        <w:t>Infrastructure</w:t>
      </w:r>
      <w:r>
        <w:rPr>
          <w:rFonts w:ascii="Verdana" w:hAnsi="Verdana"/>
          <w:i/>
          <w:iCs/>
          <w:sz w:val="20"/>
          <w:szCs w:val="20"/>
        </w:rPr>
        <w:t xml:space="preserve">’ </w:t>
      </w:r>
      <w:r w:rsidRPr="00DB40F0">
        <w:rPr>
          <w:rFonts w:ascii="Verdana" w:hAnsi="Verdana"/>
          <w:sz w:val="20"/>
          <w:szCs w:val="20"/>
        </w:rPr>
        <w:t xml:space="preserve">above should all </w:t>
      </w:r>
      <w:proofErr w:type="gramStart"/>
      <w:r w:rsidRPr="00DB40F0">
        <w:rPr>
          <w:rFonts w:ascii="Verdana" w:hAnsi="Verdana"/>
          <w:sz w:val="20"/>
          <w:szCs w:val="20"/>
        </w:rPr>
        <w:t>be considered</w:t>
      </w:r>
      <w:proofErr w:type="gramEnd"/>
      <w:r w:rsidRPr="00DB40F0">
        <w:rPr>
          <w:rFonts w:ascii="Verdana" w:hAnsi="Verdana"/>
          <w:sz w:val="20"/>
          <w:szCs w:val="20"/>
        </w:rPr>
        <w:t>.</w:t>
      </w:r>
    </w:p>
    <w:p w14:paraId="2E61A674" w14:textId="77777777" w:rsidR="00E1012D" w:rsidRPr="00E1012D" w:rsidRDefault="00E1012D" w:rsidP="00E66D7F">
      <w:pPr>
        <w:spacing w:after="0"/>
        <w:rPr>
          <w:rFonts w:ascii="Verdana" w:hAnsi="Verdana"/>
          <w:b/>
          <w:bCs/>
          <w:sz w:val="20"/>
          <w:szCs w:val="20"/>
        </w:rPr>
      </w:pPr>
    </w:p>
    <w:p w14:paraId="50BA2842" w14:textId="20CED002" w:rsidR="00DB5FBA" w:rsidRPr="00857188" w:rsidRDefault="00DB5FBA" w:rsidP="00E66D7F">
      <w:pPr>
        <w:spacing w:after="0"/>
        <w:rPr>
          <w:rFonts w:ascii="Verdana" w:hAnsi="Verdana"/>
          <w:b/>
          <w:bCs/>
          <w:sz w:val="20"/>
          <w:szCs w:val="20"/>
        </w:rPr>
      </w:pPr>
      <w:r w:rsidRPr="00857188">
        <w:rPr>
          <w:rFonts w:ascii="Verdana" w:hAnsi="Verdana"/>
          <w:b/>
          <w:bCs/>
          <w:sz w:val="20"/>
          <w:szCs w:val="20"/>
        </w:rPr>
        <w:t>CLIMATE ACTION &amp; SUSTAINABILITY</w:t>
      </w:r>
    </w:p>
    <w:p w14:paraId="703C8CFE" w14:textId="5F13A2AC" w:rsidR="00F270E2" w:rsidRDefault="00857188" w:rsidP="00E66D7F">
      <w:pPr>
        <w:spacing w:after="0"/>
        <w:rPr>
          <w:rFonts w:ascii="Verdana" w:hAnsi="Verdana"/>
          <w:sz w:val="20"/>
          <w:szCs w:val="20"/>
        </w:rPr>
      </w:pPr>
      <w:r>
        <w:rPr>
          <w:rFonts w:ascii="Verdana" w:hAnsi="Verdana"/>
          <w:sz w:val="20"/>
          <w:szCs w:val="20"/>
        </w:rPr>
        <w:t>The creation of a Civic Park with the emphasis on sustainability</w:t>
      </w:r>
      <w:r w:rsidR="00F270E2">
        <w:rPr>
          <w:rFonts w:ascii="Verdana" w:hAnsi="Verdana"/>
          <w:sz w:val="20"/>
          <w:szCs w:val="20"/>
        </w:rPr>
        <w:t xml:space="preserve"> and biodiversity through planting, solar panels </w:t>
      </w:r>
      <w:proofErr w:type="gramStart"/>
      <w:r w:rsidR="00F270E2">
        <w:rPr>
          <w:rFonts w:ascii="Verdana" w:hAnsi="Verdana"/>
          <w:sz w:val="20"/>
          <w:szCs w:val="20"/>
        </w:rPr>
        <w:t xml:space="preserve">etc.  </w:t>
      </w:r>
      <w:proofErr w:type="gramEnd"/>
      <w:r w:rsidR="00DB40F0">
        <w:rPr>
          <w:rFonts w:ascii="Verdana" w:hAnsi="Verdana"/>
          <w:sz w:val="20"/>
          <w:szCs w:val="20"/>
        </w:rPr>
        <w:t>Companies should be incentivised and informed in relation to steps each organisation can take on Climate Action e.g. v</w:t>
      </w:r>
      <w:r w:rsidR="00F270E2">
        <w:rPr>
          <w:rFonts w:ascii="Verdana" w:hAnsi="Verdana"/>
          <w:sz w:val="20"/>
          <w:szCs w:val="20"/>
        </w:rPr>
        <w:t>ertical gardens and solar panel</w:t>
      </w:r>
      <w:r w:rsidR="00DB40F0">
        <w:rPr>
          <w:rFonts w:ascii="Verdana" w:hAnsi="Verdana"/>
          <w:sz w:val="20"/>
          <w:szCs w:val="20"/>
        </w:rPr>
        <w:t>s.</w:t>
      </w:r>
    </w:p>
    <w:p w14:paraId="7518E104" w14:textId="50018378" w:rsidR="00116203" w:rsidRDefault="00116203">
      <w:pPr>
        <w:rPr>
          <w:rFonts w:ascii="Verdana" w:hAnsi="Verdana"/>
          <w:sz w:val="20"/>
          <w:szCs w:val="20"/>
        </w:rPr>
      </w:pPr>
      <w:r>
        <w:rPr>
          <w:rFonts w:ascii="Verdana" w:hAnsi="Verdana"/>
          <w:sz w:val="20"/>
          <w:szCs w:val="20"/>
        </w:rPr>
        <w:t xml:space="preserve">The Council’s Climate Action Plan 2024-2029 focuses on Buildings Energy efficiency and solutions and grants relating to same should </w:t>
      </w:r>
      <w:proofErr w:type="gramStart"/>
      <w:r>
        <w:rPr>
          <w:rFonts w:ascii="Verdana" w:hAnsi="Verdana"/>
          <w:sz w:val="20"/>
          <w:szCs w:val="20"/>
        </w:rPr>
        <w:t>be heavily promoted</w:t>
      </w:r>
      <w:proofErr w:type="gramEnd"/>
      <w:r>
        <w:rPr>
          <w:rFonts w:ascii="Verdana" w:hAnsi="Verdana"/>
          <w:sz w:val="20"/>
          <w:szCs w:val="20"/>
        </w:rPr>
        <w:t xml:space="preserve"> together with the implementation of sustainable, multi modal transport options with a keen focus on active travel.</w:t>
      </w:r>
    </w:p>
    <w:p w14:paraId="400C68DC" w14:textId="77777777" w:rsidR="00E66D7F" w:rsidRDefault="00E66D7F">
      <w:pPr>
        <w:rPr>
          <w:rFonts w:ascii="Verdana" w:hAnsi="Verdana"/>
          <w:sz w:val="20"/>
          <w:szCs w:val="20"/>
        </w:rPr>
      </w:pPr>
    </w:p>
    <w:p w14:paraId="2CD71A19" w14:textId="620FCFE7" w:rsidR="00DB40F0" w:rsidRPr="00E66D7F" w:rsidRDefault="00E66D7F" w:rsidP="00E66D7F">
      <w:pPr>
        <w:spacing w:after="0"/>
        <w:rPr>
          <w:rFonts w:ascii="Verdana" w:hAnsi="Verdana"/>
          <w:b/>
          <w:bCs/>
          <w:sz w:val="20"/>
          <w:szCs w:val="20"/>
        </w:rPr>
      </w:pPr>
      <w:r w:rsidRPr="00E66D7F">
        <w:rPr>
          <w:rFonts w:ascii="Verdana" w:hAnsi="Verdana"/>
          <w:b/>
          <w:bCs/>
          <w:sz w:val="20"/>
          <w:szCs w:val="20"/>
        </w:rPr>
        <w:t>SUMMARY</w:t>
      </w:r>
    </w:p>
    <w:p w14:paraId="21A4F3C4" w14:textId="3DE03FF6" w:rsidR="0055036C" w:rsidRPr="00113B1C" w:rsidRDefault="00E66D7F" w:rsidP="0055036C">
      <w:pPr>
        <w:numPr>
          <w:ilvl w:val="0"/>
          <w:numId w:val="2"/>
        </w:numPr>
        <w:spacing w:after="0"/>
        <w:rPr>
          <w:rFonts w:ascii="Verdana" w:hAnsi="Verdana"/>
          <w:sz w:val="20"/>
          <w:szCs w:val="20"/>
        </w:rPr>
      </w:pPr>
      <w:r w:rsidRPr="0055036C">
        <w:rPr>
          <w:rFonts w:ascii="Verdana" w:hAnsi="Verdana"/>
          <w:sz w:val="20"/>
          <w:szCs w:val="20"/>
        </w:rPr>
        <w:t xml:space="preserve">The designation of Sandyford Business District as a Mixed-Use District would be welcome. However, it </w:t>
      </w:r>
      <w:proofErr w:type="gramStart"/>
      <w:r w:rsidRPr="0055036C">
        <w:rPr>
          <w:rFonts w:ascii="Verdana" w:hAnsi="Verdana"/>
          <w:sz w:val="20"/>
          <w:szCs w:val="20"/>
        </w:rPr>
        <w:t>is considered</w:t>
      </w:r>
      <w:proofErr w:type="gramEnd"/>
      <w:r w:rsidRPr="0055036C">
        <w:rPr>
          <w:rFonts w:ascii="Verdana" w:hAnsi="Verdana"/>
          <w:sz w:val="20"/>
          <w:szCs w:val="20"/>
        </w:rPr>
        <w:t xml:space="preserve"> that the current Sandyford Urban Framework Plan is unduly restrictive in its treatment of The District. The zoning results in strict segregation of uses to specified parts of The District is inconsistent with the vision for the majority of the District as a Mixed-Use zone. There is a need for policy objectives to achieve a ‘Sustainable Mixed-Use District</w:t>
      </w:r>
      <w:proofErr w:type="gramStart"/>
      <w:r w:rsidRPr="0055036C">
        <w:rPr>
          <w:rFonts w:ascii="Verdana" w:hAnsi="Verdana"/>
          <w:sz w:val="20"/>
          <w:szCs w:val="20"/>
        </w:rPr>
        <w:t>’,</w:t>
      </w:r>
      <w:proofErr w:type="gramEnd"/>
      <w:r w:rsidRPr="0055036C">
        <w:rPr>
          <w:rFonts w:ascii="Verdana" w:hAnsi="Verdana"/>
          <w:sz w:val="20"/>
          <w:szCs w:val="20"/>
        </w:rPr>
        <w:t xml:space="preserve"> where there is a strategic approach to land use and density which provides flexibility in heights and mixed uses to facilitate employment growth, increased living accommodation and support retail and amenitie</w:t>
      </w:r>
      <w:r w:rsidR="0055036C" w:rsidRPr="0055036C">
        <w:rPr>
          <w:rFonts w:ascii="Verdana" w:hAnsi="Verdana"/>
          <w:sz w:val="20"/>
          <w:szCs w:val="20"/>
        </w:rPr>
        <w:t>s</w:t>
      </w:r>
      <w:r w:rsidR="0055036C">
        <w:rPr>
          <w:rFonts w:ascii="Verdana" w:hAnsi="Verdana"/>
          <w:sz w:val="20"/>
          <w:szCs w:val="20"/>
        </w:rPr>
        <w:t xml:space="preserve">. </w:t>
      </w:r>
      <w:r w:rsidRPr="0055036C">
        <w:rPr>
          <w:rFonts w:ascii="Verdana" w:hAnsi="Verdana"/>
          <w:sz w:val="20"/>
          <w:szCs w:val="20"/>
        </w:rPr>
        <w:t xml:space="preserve">SBID considers that a much more ambitious approach of greater density and height, with increased residential at appropriate locations, </w:t>
      </w:r>
      <w:proofErr w:type="gramStart"/>
      <w:r w:rsidRPr="0055036C">
        <w:rPr>
          <w:rFonts w:ascii="Verdana" w:hAnsi="Verdana"/>
          <w:sz w:val="20"/>
          <w:szCs w:val="20"/>
        </w:rPr>
        <w:t>is needed</w:t>
      </w:r>
      <w:proofErr w:type="gramEnd"/>
      <w:r w:rsidRPr="0055036C">
        <w:rPr>
          <w:rFonts w:ascii="Verdana" w:hAnsi="Verdana"/>
          <w:sz w:val="20"/>
          <w:szCs w:val="20"/>
        </w:rPr>
        <w:t xml:space="preserve"> to create and sustain a World-Class Mixed-Use District</w:t>
      </w:r>
      <w:r w:rsidR="0055036C">
        <w:rPr>
          <w:rFonts w:ascii="Verdana" w:hAnsi="Verdana"/>
          <w:sz w:val="20"/>
          <w:szCs w:val="20"/>
        </w:rPr>
        <w:t xml:space="preserve"> - </w:t>
      </w:r>
      <w:r w:rsidR="00CD04DB" w:rsidRPr="00113B1C">
        <w:rPr>
          <w:rFonts w:ascii="Verdana" w:hAnsi="Verdana"/>
          <w:sz w:val="20"/>
          <w:szCs w:val="20"/>
        </w:rPr>
        <w:t>H</w:t>
      </w:r>
      <w:r w:rsidR="0055036C" w:rsidRPr="00113B1C">
        <w:rPr>
          <w:rFonts w:ascii="Verdana" w:hAnsi="Verdana"/>
          <w:sz w:val="20"/>
          <w:szCs w:val="20"/>
        </w:rPr>
        <w:t>igher density for housing and commercial buildings to meet EU best practice.</w:t>
      </w:r>
    </w:p>
    <w:p w14:paraId="479C0EF5" w14:textId="50287746" w:rsidR="00E66D7F" w:rsidRPr="0055036C" w:rsidRDefault="00E66D7F" w:rsidP="0055036C">
      <w:pPr>
        <w:spacing w:after="0"/>
        <w:ind w:left="360"/>
        <w:rPr>
          <w:rFonts w:ascii="Verdana" w:hAnsi="Verdana"/>
          <w:sz w:val="20"/>
          <w:szCs w:val="20"/>
        </w:rPr>
      </w:pPr>
    </w:p>
    <w:p w14:paraId="276D6B2D" w14:textId="77777777" w:rsidR="00E66D7F" w:rsidRPr="00E4274E" w:rsidRDefault="00E66D7F">
      <w:pPr>
        <w:rPr>
          <w:rFonts w:ascii="Verdana" w:hAnsi="Verdana"/>
          <w:sz w:val="20"/>
          <w:szCs w:val="20"/>
        </w:rPr>
      </w:pPr>
    </w:p>
    <w:sectPr w:rsidR="00E66D7F" w:rsidRPr="00E4274E" w:rsidSect="00E66D7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A52D99"/>
    <w:multiLevelType w:val="hybridMultilevel"/>
    <w:tmpl w:val="DEB6845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7F314FC"/>
    <w:multiLevelType w:val="multilevel"/>
    <w:tmpl w:val="3EF813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94664020">
    <w:abstractNumId w:val="0"/>
  </w:num>
  <w:num w:numId="2" w16cid:durableId="9935276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FBA"/>
    <w:rsid w:val="000D7EDD"/>
    <w:rsid w:val="00113B1C"/>
    <w:rsid w:val="00116203"/>
    <w:rsid w:val="00167824"/>
    <w:rsid w:val="003D5F72"/>
    <w:rsid w:val="00527FE7"/>
    <w:rsid w:val="0055036C"/>
    <w:rsid w:val="006600B6"/>
    <w:rsid w:val="00712C6D"/>
    <w:rsid w:val="00857188"/>
    <w:rsid w:val="00954A52"/>
    <w:rsid w:val="009D6C1B"/>
    <w:rsid w:val="00A53BF5"/>
    <w:rsid w:val="00B3077A"/>
    <w:rsid w:val="00BA6E45"/>
    <w:rsid w:val="00CD04DB"/>
    <w:rsid w:val="00D54705"/>
    <w:rsid w:val="00DB40F0"/>
    <w:rsid w:val="00DB5FBA"/>
    <w:rsid w:val="00E1012D"/>
    <w:rsid w:val="00E13F4A"/>
    <w:rsid w:val="00E4274E"/>
    <w:rsid w:val="00E66D7F"/>
    <w:rsid w:val="00F270E2"/>
    <w:rsid w:val="00F93FBD"/>
    <w:rsid w:val="00FA3791"/>
    <w:rsid w:val="00FD457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9F8DD"/>
  <w15:chartTrackingRefBased/>
  <w15:docId w15:val="{191C26B1-6F17-4FFE-8499-63546200E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5F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5F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5F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5F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5F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5F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5F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5F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5F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F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5F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5F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5F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5F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5F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5F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5F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5FBA"/>
    <w:rPr>
      <w:rFonts w:eastAsiaTheme="majorEastAsia" w:cstheme="majorBidi"/>
      <w:color w:val="272727" w:themeColor="text1" w:themeTint="D8"/>
    </w:rPr>
  </w:style>
  <w:style w:type="paragraph" w:styleId="Title">
    <w:name w:val="Title"/>
    <w:basedOn w:val="Normal"/>
    <w:next w:val="Normal"/>
    <w:link w:val="TitleChar"/>
    <w:uiPriority w:val="10"/>
    <w:qFormat/>
    <w:rsid w:val="00DB5F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F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F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5F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5FBA"/>
    <w:pPr>
      <w:spacing w:before="160"/>
      <w:jc w:val="center"/>
    </w:pPr>
    <w:rPr>
      <w:i/>
      <w:iCs/>
      <w:color w:val="404040" w:themeColor="text1" w:themeTint="BF"/>
    </w:rPr>
  </w:style>
  <w:style w:type="character" w:customStyle="1" w:styleId="QuoteChar">
    <w:name w:val="Quote Char"/>
    <w:basedOn w:val="DefaultParagraphFont"/>
    <w:link w:val="Quote"/>
    <w:uiPriority w:val="29"/>
    <w:rsid w:val="00DB5FBA"/>
    <w:rPr>
      <w:i/>
      <w:iCs/>
      <w:color w:val="404040" w:themeColor="text1" w:themeTint="BF"/>
    </w:rPr>
  </w:style>
  <w:style w:type="paragraph" w:styleId="ListParagraph">
    <w:name w:val="List Paragraph"/>
    <w:basedOn w:val="Normal"/>
    <w:uiPriority w:val="34"/>
    <w:qFormat/>
    <w:rsid w:val="00DB5FBA"/>
    <w:pPr>
      <w:ind w:left="720"/>
      <w:contextualSpacing/>
    </w:pPr>
  </w:style>
  <w:style w:type="character" w:styleId="IntenseEmphasis">
    <w:name w:val="Intense Emphasis"/>
    <w:basedOn w:val="DefaultParagraphFont"/>
    <w:uiPriority w:val="21"/>
    <w:qFormat/>
    <w:rsid w:val="00DB5FBA"/>
    <w:rPr>
      <w:i/>
      <w:iCs/>
      <w:color w:val="0F4761" w:themeColor="accent1" w:themeShade="BF"/>
    </w:rPr>
  </w:style>
  <w:style w:type="paragraph" w:styleId="IntenseQuote">
    <w:name w:val="Intense Quote"/>
    <w:basedOn w:val="Normal"/>
    <w:next w:val="Normal"/>
    <w:link w:val="IntenseQuoteChar"/>
    <w:uiPriority w:val="30"/>
    <w:qFormat/>
    <w:rsid w:val="00DB5F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5FBA"/>
    <w:rPr>
      <w:i/>
      <w:iCs/>
      <w:color w:val="0F4761" w:themeColor="accent1" w:themeShade="BF"/>
    </w:rPr>
  </w:style>
  <w:style w:type="character" w:styleId="IntenseReference">
    <w:name w:val="Intense Reference"/>
    <w:basedOn w:val="DefaultParagraphFont"/>
    <w:uiPriority w:val="32"/>
    <w:qFormat/>
    <w:rsid w:val="00DB5FBA"/>
    <w:rPr>
      <w:b/>
      <w:bCs/>
      <w:smallCaps/>
      <w:color w:val="0F4761" w:themeColor="accent1" w:themeShade="BF"/>
      <w:spacing w:val="5"/>
    </w:rPr>
  </w:style>
  <w:style w:type="character" w:styleId="Hyperlink">
    <w:name w:val="Hyperlink"/>
    <w:basedOn w:val="DefaultParagraphFont"/>
    <w:uiPriority w:val="99"/>
    <w:unhideWhenUsed/>
    <w:rsid w:val="00DB5FBA"/>
    <w:rPr>
      <w:color w:val="467886" w:themeColor="hyperlink"/>
      <w:u w:val="single"/>
    </w:rPr>
  </w:style>
  <w:style w:type="character" w:styleId="UnresolvedMention">
    <w:name w:val="Unresolved Mention"/>
    <w:basedOn w:val="DefaultParagraphFont"/>
    <w:uiPriority w:val="99"/>
    <w:semiHidden/>
    <w:unhideWhenUsed/>
    <w:rsid w:val="00DB5F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235177">
      <w:bodyDiv w:val="1"/>
      <w:marLeft w:val="0"/>
      <w:marRight w:val="0"/>
      <w:marTop w:val="0"/>
      <w:marBottom w:val="0"/>
      <w:divBdr>
        <w:top w:val="none" w:sz="0" w:space="0" w:color="auto"/>
        <w:left w:val="none" w:sz="0" w:space="0" w:color="auto"/>
        <w:bottom w:val="none" w:sz="0" w:space="0" w:color="auto"/>
        <w:right w:val="none" w:sz="0" w:space="0" w:color="auto"/>
      </w:divBdr>
    </w:div>
    <w:div w:id="181432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75BD46A15B074AA66BFDF5F844D8CB" ma:contentTypeVersion="4" ma:contentTypeDescription="Create a new document." ma:contentTypeScope="" ma:versionID="d07c46382e298cf4710d4d3ec023d2d0">
  <xsd:schema xmlns:xsd="http://www.w3.org/2001/XMLSchema" xmlns:xs="http://www.w3.org/2001/XMLSchema" xmlns:p="http://schemas.microsoft.com/office/2006/metadata/properties" xmlns:ns2="6348eb9e-f822-45e3-8308-793ccb5cbc69" targetNamespace="http://schemas.microsoft.com/office/2006/metadata/properties" ma:root="true" ma:fieldsID="64900ace054b05b7362cb92bd0b4b1f3" ns2:_="">
    <xsd:import namespace="6348eb9e-f822-45e3-8308-793ccb5cbc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8eb9e-f822-45e3-8308-793ccb5cb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92D7B1-3106-42D9-B5B4-5071DE6077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1CB66E-5004-49DE-B294-D892E3B74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8eb9e-f822-45e3-8308-793ccb5cb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8DC5B2-B1B1-433A-9FDC-00D9562090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Moore, Sandyford Business District</dc:creator>
  <cp:keywords/>
  <dc:description/>
  <cp:lastModifiedBy>Niamh Egan</cp:lastModifiedBy>
  <cp:revision>3</cp:revision>
  <dcterms:created xsi:type="dcterms:W3CDTF">2025-08-13T07:42:00Z</dcterms:created>
  <dcterms:modified xsi:type="dcterms:W3CDTF">2025-08-13T07:43:00Z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0x010100B275BD46A15B074AA66BFDF5F844D8CB</vt:lpwstr>
  </property>
</Properties>
</file>