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DB07" w14:textId="77777777" w:rsidR="00C8427C" w:rsidRDefault="00C8427C" w:rsidP="00C8427C">
      <w:pPr>
        <w:spacing w:before="100" w:beforeAutospacing="1" w:after="100" w:afterAutospacing="1" w:line="240" w:lineRule="auto"/>
        <w:rPr>
          <w:rFonts w:ascii="Calibri" w:eastAsiaTheme="majorEastAsia" w:hAnsi="Calibri" w:cs="Calibri"/>
          <w:b/>
          <w:bCs/>
          <w:kern w:val="0"/>
          <w:sz w:val="24"/>
          <w:szCs w:val="24"/>
          <w:lang w:val="en-GB" w:eastAsia="en-GB"/>
          <w14:ligatures w14:val="none"/>
        </w:rPr>
      </w:pPr>
      <w:r w:rsidRPr="00C8427C">
        <w:rPr>
          <w:rFonts w:ascii="Calibri" w:eastAsiaTheme="majorEastAsia" w:hAnsi="Calibri" w:cs="Calibri"/>
          <w:b/>
          <w:bCs/>
          <w:smallCaps/>
          <w:color w:val="0070C0"/>
          <w:kern w:val="0"/>
          <w:sz w:val="28"/>
          <w:szCs w:val="28"/>
          <w:lang w:val="en-GB" w:eastAsia="en-GB"/>
          <w14:ligatures w14:val="none"/>
        </w:rPr>
        <w:t>Community Facilities &amp; Social Infrastructure</w:t>
      </w:r>
      <w:r w:rsidRPr="00C8427C">
        <w:rPr>
          <w:rFonts w:ascii="Calibri" w:eastAsia="Times New Roman" w:hAnsi="Calibri" w:cs="Calibri"/>
          <w:kern w:val="0"/>
          <w:sz w:val="28"/>
          <w:szCs w:val="28"/>
          <w:lang w:val="en-GB" w:eastAsia="en-GB"/>
          <w14:ligatures w14:val="none"/>
        </w:rPr>
        <w:br/>
      </w:r>
      <w:r w:rsidRPr="00C8427C">
        <w:rPr>
          <w:rFonts w:ascii="Calibri" w:eastAsia="Times New Roman" w:hAnsi="Calibri" w:cs="Calibri"/>
          <w:kern w:val="0"/>
          <w:sz w:val="24"/>
          <w:szCs w:val="24"/>
          <w:lang w:val="en-GB" w:eastAsia="en-GB"/>
          <w14:ligatures w14:val="none"/>
        </w:rPr>
        <w:t xml:space="preserve">This submission for the Sandyford Urban Framework Plan highlights the importance of enhancing community infrastructure to support social interaction, recreation, and cultural activity. Central to this is the provision of an additional </w:t>
      </w:r>
      <w:r w:rsidRPr="00C8427C">
        <w:rPr>
          <w:rFonts w:ascii="Calibri" w:eastAsiaTheme="majorEastAsia" w:hAnsi="Calibri" w:cs="Calibri"/>
          <w:b/>
          <w:bCs/>
          <w:kern w:val="0"/>
          <w:sz w:val="24"/>
          <w:szCs w:val="24"/>
          <w:lang w:val="en-GB" w:eastAsia="en-GB"/>
          <w14:ligatures w14:val="none"/>
        </w:rPr>
        <w:t>Civic Park on Corrig Road</w:t>
      </w:r>
      <w:r w:rsidRPr="00C8427C">
        <w:rPr>
          <w:rFonts w:ascii="Calibri" w:eastAsia="Times New Roman" w:hAnsi="Calibri" w:cs="Calibri"/>
          <w:kern w:val="0"/>
          <w:sz w:val="24"/>
          <w:szCs w:val="24"/>
          <w:lang w:val="en-GB" w:eastAsia="en-GB"/>
          <w14:ligatures w14:val="none"/>
        </w:rPr>
        <w:t xml:space="preserve"> and the development of a </w:t>
      </w:r>
      <w:r w:rsidRPr="00C8427C">
        <w:rPr>
          <w:rFonts w:ascii="Calibri" w:eastAsiaTheme="majorEastAsia" w:hAnsi="Calibri" w:cs="Calibri"/>
          <w:b/>
          <w:bCs/>
          <w:kern w:val="0"/>
          <w:sz w:val="24"/>
          <w:szCs w:val="24"/>
          <w:lang w:val="en-GB" w:eastAsia="en-GB"/>
          <w14:ligatures w14:val="none"/>
        </w:rPr>
        <w:t>Civic Centre</w:t>
      </w:r>
      <w:r w:rsidRPr="00C8427C">
        <w:rPr>
          <w:rFonts w:ascii="Calibri" w:eastAsia="Times New Roman" w:hAnsi="Calibri" w:cs="Calibri"/>
          <w:kern w:val="0"/>
          <w:sz w:val="24"/>
          <w:szCs w:val="24"/>
          <w:lang w:val="en-GB" w:eastAsia="en-GB"/>
          <w14:ligatures w14:val="none"/>
        </w:rPr>
        <w:t xml:space="preserve">, creating focal points for civic and community life. This submission also advocates for the delivery of </w:t>
      </w:r>
      <w:r w:rsidRPr="00C8427C">
        <w:rPr>
          <w:rFonts w:ascii="Calibri" w:eastAsiaTheme="majorEastAsia" w:hAnsi="Calibri" w:cs="Calibri"/>
          <w:b/>
          <w:bCs/>
          <w:kern w:val="0"/>
          <w:sz w:val="24"/>
          <w:szCs w:val="24"/>
          <w:lang w:val="en-GB" w:eastAsia="en-GB"/>
          <w14:ligatures w14:val="none"/>
        </w:rPr>
        <w:t>public sports facilities</w:t>
      </w:r>
      <w:r w:rsidRPr="00C8427C">
        <w:rPr>
          <w:rFonts w:ascii="Calibri" w:eastAsia="Times New Roman" w:hAnsi="Calibri" w:cs="Calibri"/>
          <w:kern w:val="0"/>
          <w:sz w:val="24"/>
          <w:szCs w:val="24"/>
          <w:lang w:val="en-GB" w:eastAsia="en-GB"/>
          <w14:ligatures w14:val="none"/>
        </w:rPr>
        <w:t xml:space="preserve"> (including padel tennis, ultimate frisbee, and wall ball), an </w:t>
      </w:r>
      <w:r w:rsidRPr="00C8427C">
        <w:rPr>
          <w:rFonts w:ascii="Calibri" w:eastAsiaTheme="majorEastAsia" w:hAnsi="Calibri" w:cs="Calibri"/>
          <w:b/>
          <w:bCs/>
          <w:kern w:val="0"/>
          <w:sz w:val="24"/>
          <w:szCs w:val="24"/>
          <w:lang w:val="en-GB" w:eastAsia="en-GB"/>
          <w14:ligatures w14:val="none"/>
        </w:rPr>
        <w:t>amphitheatre</w:t>
      </w:r>
      <w:r w:rsidRPr="00C8427C">
        <w:rPr>
          <w:rFonts w:ascii="Calibri" w:eastAsia="Times New Roman" w:hAnsi="Calibri" w:cs="Calibri"/>
          <w:kern w:val="0"/>
          <w:sz w:val="24"/>
          <w:szCs w:val="24"/>
          <w:lang w:val="en-GB" w:eastAsia="en-GB"/>
          <w14:ligatures w14:val="none"/>
        </w:rPr>
        <w:t xml:space="preserve"> for open-air events and exercise, a </w:t>
      </w:r>
      <w:r w:rsidRPr="00C8427C">
        <w:rPr>
          <w:rFonts w:ascii="Calibri" w:eastAsiaTheme="majorEastAsia" w:hAnsi="Calibri" w:cs="Calibri"/>
          <w:b/>
          <w:bCs/>
          <w:kern w:val="0"/>
          <w:sz w:val="24"/>
          <w:szCs w:val="24"/>
          <w:lang w:val="en-GB" w:eastAsia="en-GB"/>
          <w14:ligatures w14:val="none"/>
        </w:rPr>
        <w:t>theatre/cinema</w:t>
      </w:r>
      <w:r w:rsidRPr="00C8427C">
        <w:rPr>
          <w:rFonts w:ascii="Calibri" w:eastAsia="Times New Roman" w:hAnsi="Calibri" w:cs="Calibri"/>
          <w:kern w:val="0"/>
          <w:sz w:val="24"/>
          <w:szCs w:val="24"/>
          <w:lang w:val="en-GB" w:eastAsia="en-GB"/>
          <w14:ligatures w14:val="none"/>
        </w:rPr>
        <w:t xml:space="preserve">, and a </w:t>
      </w:r>
      <w:r w:rsidRPr="00C8427C">
        <w:rPr>
          <w:rFonts w:ascii="Calibri" w:eastAsiaTheme="majorEastAsia" w:hAnsi="Calibri" w:cs="Calibri"/>
          <w:b/>
          <w:bCs/>
          <w:kern w:val="0"/>
          <w:sz w:val="24"/>
          <w:szCs w:val="24"/>
          <w:lang w:val="en-GB" w:eastAsia="en-GB"/>
          <w14:ligatures w14:val="none"/>
        </w:rPr>
        <w:t>swimming pool</w:t>
      </w:r>
      <w:r w:rsidRPr="00C8427C">
        <w:rPr>
          <w:rFonts w:ascii="Calibri" w:eastAsia="Times New Roman" w:hAnsi="Calibri" w:cs="Calibri"/>
          <w:kern w:val="0"/>
          <w:sz w:val="24"/>
          <w:szCs w:val="24"/>
          <w:lang w:val="en-GB" w:eastAsia="en-GB"/>
          <w14:ligatures w14:val="none"/>
        </w:rPr>
        <w:t xml:space="preserve">. In addition, this submission supports </w:t>
      </w:r>
      <w:r w:rsidRPr="00C8427C">
        <w:rPr>
          <w:rFonts w:ascii="Calibri" w:eastAsiaTheme="majorEastAsia" w:hAnsi="Calibri" w:cs="Calibri"/>
          <w:b/>
          <w:bCs/>
          <w:kern w:val="0"/>
          <w:sz w:val="24"/>
          <w:szCs w:val="24"/>
          <w:lang w:val="en-GB" w:eastAsia="en-GB"/>
          <w14:ligatures w14:val="none"/>
        </w:rPr>
        <w:t>public access to part of the Stillorgan Reservoir lands</w:t>
      </w:r>
      <w:r w:rsidRPr="00C8427C">
        <w:rPr>
          <w:rFonts w:ascii="Calibri" w:eastAsia="Times New Roman" w:hAnsi="Calibri" w:cs="Calibri"/>
          <w:kern w:val="0"/>
          <w:sz w:val="24"/>
          <w:szCs w:val="24"/>
          <w:lang w:val="en-GB" w:eastAsia="en-GB"/>
          <w14:ligatures w14:val="none"/>
        </w:rPr>
        <w:t>, recognising their potential as a high-quality public amenity.</w:t>
      </w:r>
      <w:r w:rsidRPr="00C8427C">
        <w:rPr>
          <w:rFonts w:ascii="Calibri" w:eastAsiaTheme="majorEastAsia" w:hAnsi="Calibri" w:cs="Calibri"/>
          <w:b/>
          <w:bCs/>
          <w:kern w:val="0"/>
          <w:sz w:val="24"/>
          <w:szCs w:val="24"/>
          <w:lang w:val="en-GB" w:eastAsia="en-GB"/>
          <w14:ligatures w14:val="none"/>
        </w:rPr>
        <w:t xml:space="preserve"> </w:t>
      </w:r>
    </w:p>
    <w:p w14:paraId="7FDFEF98" w14:textId="77777777" w:rsidR="00C8427C" w:rsidRPr="00C8427C" w:rsidRDefault="00C8427C" w:rsidP="00C8427C">
      <w:pPr>
        <w:spacing w:before="100" w:beforeAutospacing="1" w:after="100" w:afterAutospacing="1" w:line="240" w:lineRule="auto"/>
        <w:rPr>
          <w:rFonts w:ascii="Calibri" w:eastAsia="Times New Roman" w:hAnsi="Calibri" w:cs="Calibri"/>
          <w:kern w:val="0"/>
          <w:sz w:val="24"/>
          <w:szCs w:val="24"/>
          <w:lang w:val="en-GB" w:eastAsia="en-GB"/>
          <w14:ligatures w14:val="none"/>
        </w:rPr>
      </w:pPr>
      <w:r w:rsidRPr="00C8427C">
        <w:rPr>
          <w:rFonts w:ascii="Calibri" w:eastAsiaTheme="majorEastAsia" w:hAnsi="Calibri" w:cs="Calibri"/>
          <w:b/>
          <w:bCs/>
          <w:smallCaps/>
          <w:color w:val="0070C0"/>
          <w:kern w:val="0"/>
          <w:sz w:val="28"/>
          <w:szCs w:val="28"/>
          <w:lang w:val="en-GB" w:eastAsia="en-GB"/>
          <w14:ligatures w14:val="none"/>
        </w:rPr>
        <w:t>Connectivity &amp; Transport</w:t>
      </w:r>
      <w:r w:rsidRPr="00C8427C">
        <w:rPr>
          <w:rFonts w:ascii="Calibri" w:eastAsia="Times New Roman" w:hAnsi="Calibri" w:cs="Calibri"/>
          <w:smallCaps/>
          <w:kern w:val="0"/>
          <w:sz w:val="24"/>
          <w:szCs w:val="24"/>
          <w:lang w:val="en-GB" w:eastAsia="en-GB"/>
          <w14:ligatures w14:val="none"/>
        </w:rPr>
        <w:br/>
      </w:r>
      <w:r w:rsidRPr="00C8427C">
        <w:rPr>
          <w:rFonts w:ascii="Calibri" w:eastAsia="Times New Roman" w:hAnsi="Calibri" w:cs="Calibri"/>
          <w:kern w:val="0"/>
          <w:sz w:val="24"/>
          <w:szCs w:val="24"/>
          <w:lang w:val="en-GB" w:eastAsia="en-GB"/>
          <w14:ligatures w14:val="none"/>
        </w:rPr>
        <w:t xml:space="preserve">Under the theme of </w:t>
      </w:r>
      <w:r w:rsidRPr="00C8427C">
        <w:rPr>
          <w:rFonts w:ascii="Calibri" w:eastAsiaTheme="majorEastAsia" w:hAnsi="Calibri" w:cs="Calibri"/>
          <w:b/>
          <w:bCs/>
          <w:kern w:val="0"/>
          <w:sz w:val="24"/>
          <w:szCs w:val="24"/>
          <w:lang w:val="en-GB" w:eastAsia="en-GB"/>
          <w14:ligatures w14:val="none"/>
        </w:rPr>
        <w:t>Connectivity &amp; Transport</w:t>
      </w:r>
      <w:r w:rsidRPr="00C8427C">
        <w:rPr>
          <w:rFonts w:ascii="Calibri" w:eastAsia="Times New Roman" w:hAnsi="Calibri" w:cs="Calibri"/>
          <w:kern w:val="0"/>
          <w:sz w:val="24"/>
          <w:szCs w:val="24"/>
          <w:lang w:val="en-GB" w:eastAsia="en-GB"/>
          <w14:ligatures w14:val="none"/>
        </w:rPr>
        <w:t xml:space="preserve">, this submission emphasises the need for integrated and sustainable mobility solutions to support Sandyford’s growth. Key proposals include the introduction of a </w:t>
      </w:r>
      <w:r w:rsidRPr="00C8427C">
        <w:rPr>
          <w:rFonts w:ascii="Calibri" w:eastAsiaTheme="majorEastAsia" w:hAnsi="Calibri" w:cs="Calibri"/>
          <w:b/>
          <w:bCs/>
          <w:kern w:val="0"/>
          <w:sz w:val="24"/>
          <w:szCs w:val="24"/>
          <w:lang w:val="en-GB" w:eastAsia="en-GB"/>
          <w14:ligatures w14:val="none"/>
        </w:rPr>
        <w:t>“circle bus” service</w:t>
      </w:r>
      <w:r w:rsidRPr="00C8427C">
        <w:rPr>
          <w:rFonts w:ascii="Calibri" w:eastAsia="Times New Roman" w:hAnsi="Calibri" w:cs="Calibri"/>
          <w:kern w:val="0"/>
          <w:sz w:val="24"/>
          <w:szCs w:val="24"/>
          <w:lang w:val="en-GB" w:eastAsia="en-GB"/>
          <w14:ligatures w14:val="none"/>
        </w:rPr>
        <w:t xml:space="preserve"> linking the four business parks to improve internal connectivity and reduce reliance on private cars. This submission also calls for a more </w:t>
      </w:r>
      <w:r w:rsidRPr="00C8427C">
        <w:rPr>
          <w:rFonts w:ascii="Calibri" w:eastAsiaTheme="majorEastAsia" w:hAnsi="Calibri" w:cs="Calibri"/>
          <w:b/>
          <w:bCs/>
          <w:kern w:val="0"/>
          <w:sz w:val="24"/>
          <w:szCs w:val="24"/>
          <w:lang w:val="en-GB" w:eastAsia="en-GB"/>
          <w14:ligatures w14:val="none"/>
        </w:rPr>
        <w:t>cohesive network of cycle routes</w:t>
      </w:r>
      <w:r w:rsidRPr="00C8427C">
        <w:rPr>
          <w:rFonts w:ascii="Calibri" w:eastAsia="Times New Roman" w:hAnsi="Calibri" w:cs="Calibri"/>
          <w:kern w:val="0"/>
          <w:sz w:val="24"/>
          <w:szCs w:val="24"/>
          <w:lang w:val="en-GB" w:eastAsia="en-GB"/>
          <w14:ligatures w14:val="none"/>
        </w:rPr>
        <w:t xml:space="preserve"> and </w:t>
      </w:r>
      <w:r w:rsidRPr="00C8427C">
        <w:rPr>
          <w:rFonts w:ascii="Calibri" w:eastAsiaTheme="majorEastAsia" w:hAnsi="Calibri" w:cs="Calibri"/>
          <w:b/>
          <w:bCs/>
          <w:kern w:val="0"/>
          <w:sz w:val="24"/>
          <w:szCs w:val="24"/>
          <w:lang w:val="en-GB" w:eastAsia="en-GB"/>
          <w14:ligatures w14:val="none"/>
        </w:rPr>
        <w:t>safe, accessible walking routes</w:t>
      </w:r>
      <w:r w:rsidRPr="00C8427C">
        <w:rPr>
          <w:rFonts w:ascii="Calibri" w:eastAsia="Times New Roman" w:hAnsi="Calibri" w:cs="Calibri"/>
          <w:kern w:val="0"/>
          <w:sz w:val="24"/>
          <w:szCs w:val="24"/>
          <w:lang w:val="en-GB" w:eastAsia="en-GB"/>
          <w14:ligatures w14:val="none"/>
        </w:rPr>
        <w:t xml:space="preserve"> to encourage active travel. Furthermore, it recommends the establishment of a </w:t>
      </w:r>
      <w:r w:rsidRPr="00C8427C">
        <w:rPr>
          <w:rFonts w:ascii="Calibri" w:eastAsiaTheme="majorEastAsia" w:hAnsi="Calibri" w:cs="Calibri"/>
          <w:b/>
          <w:bCs/>
          <w:kern w:val="0"/>
          <w:sz w:val="24"/>
          <w:szCs w:val="24"/>
          <w:lang w:val="en-GB" w:eastAsia="en-GB"/>
          <w14:ligatures w14:val="none"/>
        </w:rPr>
        <w:t>Mobility Hub within each business park</w:t>
      </w:r>
      <w:r w:rsidRPr="00C8427C">
        <w:rPr>
          <w:rFonts w:ascii="Calibri" w:eastAsia="Times New Roman" w:hAnsi="Calibri" w:cs="Calibri"/>
          <w:kern w:val="0"/>
          <w:sz w:val="24"/>
          <w:szCs w:val="24"/>
          <w:lang w:val="en-GB" w:eastAsia="en-GB"/>
          <w14:ligatures w14:val="none"/>
        </w:rPr>
        <w:t>, providing car hire, bike hire, and EV charging facilities to promote sustainable transport choices and support the transition to low-carbon mobility.</w:t>
      </w:r>
    </w:p>
    <w:p w14:paraId="320073C7" w14:textId="77777777" w:rsidR="00B85593" w:rsidRDefault="00C8427C" w:rsidP="00B85593">
      <w:pPr>
        <w:spacing w:after="0"/>
        <w:rPr>
          <w:rFonts w:ascii="Calibri" w:hAnsi="Calibri" w:cs="Calibri"/>
          <w:b/>
          <w:bCs/>
          <w:smallCaps/>
          <w:color w:val="0070C0"/>
          <w:kern w:val="0"/>
          <w:sz w:val="28"/>
          <w:szCs w:val="28"/>
          <w:lang w:val="en-GB"/>
          <w14:ligatures w14:val="none"/>
        </w:rPr>
      </w:pPr>
      <w:r w:rsidRPr="00C8427C">
        <w:rPr>
          <w:rFonts w:ascii="Calibri" w:hAnsi="Calibri" w:cs="Calibri"/>
          <w:b/>
          <w:bCs/>
          <w:smallCaps/>
          <w:color w:val="0070C0"/>
          <w:kern w:val="0"/>
          <w:sz w:val="28"/>
          <w:szCs w:val="28"/>
          <w:lang w:val="en-GB"/>
          <w14:ligatures w14:val="none"/>
        </w:rPr>
        <w:t>Employment</w:t>
      </w:r>
      <w:r>
        <w:rPr>
          <w:rFonts w:ascii="Calibri" w:hAnsi="Calibri" w:cs="Calibri"/>
          <w:b/>
          <w:bCs/>
          <w:smallCaps/>
          <w:color w:val="0070C0"/>
          <w:kern w:val="0"/>
          <w:sz w:val="28"/>
          <w:szCs w:val="28"/>
          <w:lang w:val="en-GB"/>
          <w14:ligatures w14:val="none"/>
        </w:rPr>
        <w:t xml:space="preserve"> &amp; Business Development</w:t>
      </w:r>
    </w:p>
    <w:p w14:paraId="48DD5300" w14:textId="4D0A0B6D" w:rsidR="00C8427C" w:rsidRDefault="00C8427C" w:rsidP="00B85593">
      <w:pPr>
        <w:spacing w:after="0"/>
        <w:rPr>
          <w:rFonts w:ascii="Calibri" w:hAnsi="Calibri" w:cs="Calibri"/>
          <w:kern w:val="0"/>
          <w:sz w:val="24"/>
          <w:szCs w:val="24"/>
          <w:lang w:val="en-GB"/>
          <w14:ligatures w14:val="none"/>
        </w:rPr>
      </w:pPr>
      <w:r w:rsidRPr="00C8427C">
        <w:rPr>
          <w:rFonts w:ascii="Calibri" w:hAnsi="Calibri" w:cs="Calibri"/>
          <w:kern w:val="0"/>
          <w:sz w:val="24"/>
          <w:szCs w:val="24"/>
          <w:lang w:val="en-GB"/>
          <w14:ligatures w14:val="none"/>
        </w:rPr>
        <w:t xml:space="preserve">Under </w:t>
      </w:r>
      <w:r w:rsidRPr="00C8427C">
        <w:rPr>
          <w:rFonts w:ascii="Calibri" w:hAnsi="Calibri" w:cs="Calibri"/>
          <w:b/>
          <w:bCs/>
          <w:kern w:val="0"/>
          <w:sz w:val="24"/>
          <w:szCs w:val="24"/>
          <w:lang w:val="en-GB"/>
          <w14:ligatures w14:val="none"/>
        </w:rPr>
        <w:t>Employment</w:t>
      </w:r>
      <w:r w:rsidRPr="00C8427C">
        <w:rPr>
          <w:rFonts w:ascii="Calibri" w:hAnsi="Calibri" w:cs="Calibri"/>
          <w:kern w:val="0"/>
          <w:sz w:val="24"/>
          <w:szCs w:val="24"/>
          <w:lang w:val="en-GB"/>
          <w14:ligatures w14:val="none"/>
        </w:rPr>
        <w:t xml:space="preserve">, this submission highlights the need to maintain Sandyford’s status as a premier business location. It advocates for the provision of </w:t>
      </w:r>
      <w:r w:rsidRPr="00C8427C">
        <w:rPr>
          <w:rFonts w:ascii="Calibri" w:hAnsi="Calibri" w:cs="Calibri"/>
          <w:b/>
          <w:bCs/>
          <w:kern w:val="0"/>
          <w:sz w:val="24"/>
          <w:szCs w:val="24"/>
          <w:lang w:val="en-GB"/>
          <w14:ligatures w14:val="none"/>
        </w:rPr>
        <w:t>additional office space</w:t>
      </w:r>
      <w:r w:rsidRPr="00C8427C">
        <w:rPr>
          <w:rFonts w:ascii="Calibri" w:hAnsi="Calibri" w:cs="Calibri"/>
          <w:kern w:val="0"/>
          <w:sz w:val="24"/>
          <w:szCs w:val="24"/>
          <w:lang w:val="en-GB"/>
          <w14:ligatures w14:val="none"/>
        </w:rPr>
        <w:t xml:space="preserve"> to accommodate future employment growth, alongside </w:t>
      </w:r>
      <w:r w:rsidRPr="00C8427C">
        <w:rPr>
          <w:rFonts w:ascii="Calibri" w:hAnsi="Calibri" w:cs="Calibri"/>
          <w:b/>
          <w:bCs/>
          <w:kern w:val="0"/>
          <w:sz w:val="24"/>
          <w:szCs w:val="24"/>
          <w:lang w:val="en-GB"/>
          <w14:ligatures w14:val="none"/>
        </w:rPr>
        <w:t>greater flexibility on building heights</w:t>
      </w:r>
      <w:r w:rsidRPr="00C8427C">
        <w:rPr>
          <w:rFonts w:ascii="Calibri" w:hAnsi="Calibri" w:cs="Calibri"/>
          <w:kern w:val="0"/>
          <w:sz w:val="24"/>
          <w:szCs w:val="24"/>
          <w:lang w:val="en-GB"/>
          <w14:ligatures w14:val="none"/>
        </w:rPr>
        <w:t xml:space="preserve"> to facilitate appropriate development. To support innovation and entrepreneurship, this submission proposes dedicated </w:t>
      </w:r>
      <w:r w:rsidRPr="00C8427C">
        <w:rPr>
          <w:rFonts w:ascii="Calibri" w:hAnsi="Calibri" w:cs="Calibri"/>
          <w:b/>
          <w:bCs/>
          <w:kern w:val="0"/>
          <w:sz w:val="24"/>
          <w:szCs w:val="24"/>
          <w:lang w:val="en-GB"/>
          <w14:ligatures w14:val="none"/>
        </w:rPr>
        <w:t>Startup and Incubator Hubs</w:t>
      </w:r>
      <w:r w:rsidRPr="00C8427C">
        <w:rPr>
          <w:rFonts w:ascii="Calibri" w:hAnsi="Calibri" w:cs="Calibri"/>
          <w:kern w:val="0"/>
          <w:sz w:val="24"/>
          <w:szCs w:val="24"/>
          <w:lang w:val="en-GB"/>
          <w14:ligatures w14:val="none"/>
        </w:rPr>
        <w:t xml:space="preserve"> for new and scaling businesses. Additionally, the development of a </w:t>
      </w:r>
      <w:r w:rsidRPr="00C8427C">
        <w:rPr>
          <w:rFonts w:ascii="Calibri" w:hAnsi="Calibri" w:cs="Calibri"/>
          <w:b/>
          <w:bCs/>
          <w:kern w:val="0"/>
          <w:sz w:val="24"/>
          <w:szCs w:val="24"/>
          <w:lang w:val="en-GB"/>
          <w14:ligatures w14:val="none"/>
        </w:rPr>
        <w:t>purpose-built Conference Centre</w:t>
      </w:r>
      <w:r w:rsidRPr="00C8427C">
        <w:rPr>
          <w:rFonts w:ascii="Calibri" w:hAnsi="Calibri" w:cs="Calibri"/>
          <w:kern w:val="0"/>
          <w:sz w:val="24"/>
          <w:szCs w:val="24"/>
          <w:lang w:val="en-GB"/>
          <w14:ligatures w14:val="none"/>
        </w:rPr>
        <w:t xml:space="preserve"> is recommended to enhance Sandyford’s profile as a centre for business activity and to stimulate wider economic development.</w:t>
      </w:r>
    </w:p>
    <w:p w14:paraId="6820346C" w14:textId="77777777" w:rsidR="00B85593" w:rsidRPr="00C8427C" w:rsidRDefault="00B85593" w:rsidP="00B85593">
      <w:pPr>
        <w:spacing w:after="0"/>
        <w:rPr>
          <w:rFonts w:ascii="Calibri" w:hAnsi="Calibri" w:cs="Calibri"/>
          <w:kern w:val="0"/>
          <w:sz w:val="24"/>
          <w:szCs w:val="24"/>
          <w:lang w:val="en-GB"/>
          <w14:ligatures w14:val="none"/>
        </w:rPr>
      </w:pPr>
    </w:p>
    <w:p w14:paraId="61196EAF" w14:textId="77777777" w:rsidR="00C8427C" w:rsidRPr="00C8427C" w:rsidRDefault="00C8427C" w:rsidP="00C8427C">
      <w:pPr>
        <w:rPr>
          <w:rFonts w:ascii="Calibri" w:hAnsi="Calibri" w:cs="Calibri"/>
          <w:kern w:val="0"/>
          <w:sz w:val="24"/>
          <w:szCs w:val="24"/>
          <w:lang w:val="en-GB"/>
          <w14:ligatures w14:val="none"/>
        </w:rPr>
      </w:pPr>
      <w:r w:rsidRPr="00C8427C">
        <w:rPr>
          <w:rFonts w:ascii="Calibri" w:hAnsi="Calibri" w:cs="Calibri"/>
          <w:b/>
          <w:bCs/>
          <w:smallCaps/>
          <w:color w:val="0070C0"/>
          <w:kern w:val="0"/>
          <w:sz w:val="28"/>
          <w:szCs w:val="28"/>
          <w:lang w:val="en-GB"/>
          <w14:ligatures w14:val="none"/>
        </w:rPr>
        <w:t>Residential</w:t>
      </w:r>
      <w:r w:rsidRPr="00C8427C">
        <w:rPr>
          <w:rFonts w:ascii="Calibri" w:hAnsi="Calibri" w:cs="Calibri"/>
          <w:smallCaps/>
          <w:kern w:val="0"/>
          <w:sz w:val="24"/>
          <w:szCs w:val="24"/>
          <w:lang w:val="en-GB"/>
          <w14:ligatures w14:val="none"/>
        </w:rPr>
        <w:br/>
      </w:r>
      <w:r w:rsidRPr="00C8427C">
        <w:rPr>
          <w:rFonts w:ascii="Calibri" w:hAnsi="Calibri" w:cs="Calibri"/>
          <w:kern w:val="0"/>
          <w:sz w:val="24"/>
          <w:szCs w:val="24"/>
          <w:lang w:val="en-GB"/>
          <w14:ligatures w14:val="none"/>
        </w:rPr>
        <w:t xml:space="preserve">Under the theme of </w:t>
      </w:r>
      <w:r w:rsidRPr="00C8427C">
        <w:rPr>
          <w:rFonts w:ascii="Calibri" w:hAnsi="Calibri" w:cs="Calibri"/>
          <w:b/>
          <w:bCs/>
          <w:kern w:val="0"/>
          <w:sz w:val="24"/>
          <w:szCs w:val="24"/>
          <w:lang w:val="en-GB"/>
          <w14:ligatures w14:val="none"/>
        </w:rPr>
        <w:t>Residential</w:t>
      </w:r>
      <w:r w:rsidRPr="00C8427C">
        <w:rPr>
          <w:rFonts w:ascii="Calibri" w:hAnsi="Calibri" w:cs="Calibri"/>
          <w:kern w:val="0"/>
          <w:sz w:val="24"/>
          <w:szCs w:val="24"/>
          <w:lang w:val="en-GB"/>
          <w14:ligatures w14:val="none"/>
        </w:rPr>
        <w:t xml:space="preserve">, this submission highlights the need for a balanced mix of uses to strengthen Sandyford as a sustainable and liveable district. It advocates for </w:t>
      </w:r>
      <w:r w:rsidRPr="00C8427C">
        <w:rPr>
          <w:rFonts w:ascii="Calibri" w:hAnsi="Calibri" w:cs="Calibri"/>
          <w:b/>
          <w:bCs/>
          <w:kern w:val="0"/>
          <w:sz w:val="24"/>
          <w:szCs w:val="24"/>
          <w:lang w:val="en-GB"/>
          <w14:ligatures w14:val="none"/>
        </w:rPr>
        <w:t>alternative zoning provisions</w:t>
      </w:r>
      <w:r w:rsidRPr="00C8427C">
        <w:rPr>
          <w:rFonts w:ascii="Calibri" w:hAnsi="Calibri" w:cs="Calibri"/>
          <w:kern w:val="0"/>
          <w:sz w:val="24"/>
          <w:szCs w:val="24"/>
          <w:lang w:val="en-GB"/>
          <w14:ligatures w14:val="none"/>
        </w:rPr>
        <w:t xml:space="preserve"> to enable additional </w:t>
      </w:r>
      <w:r w:rsidRPr="00C8427C">
        <w:rPr>
          <w:rFonts w:ascii="Calibri" w:hAnsi="Calibri" w:cs="Calibri"/>
          <w:b/>
          <w:bCs/>
          <w:kern w:val="0"/>
          <w:sz w:val="24"/>
          <w:szCs w:val="24"/>
          <w:lang w:val="en-GB"/>
          <w14:ligatures w14:val="none"/>
        </w:rPr>
        <w:t>residential development</w:t>
      </w:r>
      <w:r w:rsidRPr="00C8427C">
        <w:rPr>
          <w:rFonts w:ascii="Calibri" w:hAnsi="Calibri" w:cs="Calibri"/>
          <w:kern w:val="0"/>
          <w:sz w:val="24"/>
          <w:szCs w:val="24"/>
          <w:lang w:val="en-GB"/>
          <w14:ligatures w14:val="none"/>
        </w:rPr>
        <w:t xml:space="preserve">, supporting future growth while fostering a strong local community. This approach aligns with the principles of the </w:t>
      </w:r>
      <w:r w:rsidRPr="00C8427C">
        <w:rPr>
          <w:rFonts w:ascii="Calibri" w:hAnsi="Calibri" w:cs="Calibri"/>
          <w:b/>
          <w:bCs/>
          <w:kern w:val="0"/>
          <w:sz w:val="24"/>
          <w:szCs w:val="24"/>
          <w:lang w:val="en-GB"/>
          <w14:ligatures w14:val="none"/>
        </w:rPr>
        <w:t>15-Minute District</w:t>
      </w:r>
      <w:r w:rsidRPr="00C8427C">
        <w:rPr>
          <w:rFonts w:ascii="Calibri" w:hAnsi="Calibri" w:cs="Calibri"/>
          <w:kern w:val="0"/>
          <w:sz w:val="24"/>
          <w:szCs w:val="24"/>
          <w:lang w:val="en-GB"/>
          <w14:ligatures w14:val="none"/>
        </w:rPr>
        <w:t>, ensuring that housing, employment, services, and amenities are accessible within a short distance, thereby promoting a vibrant and integrated urban environment.</w:t>
      </w:r>
    </w:p>
    <w:p w14:paraId="68BCB8ED" w14:textId="77777777" w:rsidR="00C8427C" w:rsidRPr="00C8427C" w:rsidRDefault="00C8427C" w:rsidP="00C8427C">
      <w:pPr>
        <w:rPr>
          <w:rFonts w:ascii="Calibri" w:hAnsi="Calibri" w:cs="Calibri"/>
          <w:kern w:val="0"/>
          <w:sz w:val="24"/>
          <w:szCs w:val="24"/>
          <w:lang w:val="en-GB"/>
          <w14:ligatures w14:val="none"/>
        </w:rPr>
      </w:pPr>
      <w:r w:rsidRPr="00C8427C">
        <w:rPr>
          <w:rFonts w:ascii="Calibri" w:hAnsi="Calibri" w:cs="Calibri"/>
          <w:b/>
          <w:bCs/>
          <w:smallCaps/>
          <w:color w:val="0070C0"/>
          <w:kern w:val="0"/>
          <w:sz w:val="28"/>
          <w:szCs w:val="28"/>
          <w:lang w:val="en-GB"/>
          <w14:ligatures w14:val="none"/>
        </w:rPr>
        <w:t>Retail &amp; Services</w:t>
      </w:r>
      <w:r w:rsidRPr="00C8427C">
        <w:rPr>
          <w:rFonts w:ascii="Calibri" w:hAnsi="Calibri" w:cs="Calibri"/>
          <w:smallCaps/>
          <w:kern w:val="0"/>
          <w:sz w:val="24"/>
          <w:szCs w:val="24"/>
          <w:lang w:val="en-GB"/>
          <w14:ligatures w14:val="none"/>
        </w:rPr>
        <w:br/>
      </w:r>
      <w:r w:rsidRPr="00C8427C">
        <w:rPr>
          <w:rFonts w:ascii="Calibri" w:hAnsi="Calibri" w:cs="Calibri"/>
          <w:kern w:val="0"/>
          <w:sz w:val="24"/>
          <w:szCs w:val="24"/>
          <w:lang w:val="en-GB"/>
          <w14:ligatures w14:val="none"/>
        </w:rPr>
        <w:t xml:space="preserve">Under </w:t>
      </w:r>
      <w:r w:rsidRPr="00C8427C">
        <w:rPr>
          <w:rFonts w:ascii="Calibri" w:hAnsi="Calibri" w:cs="Calibri"/>
          <w:b/>
          <w:bCs/>
          <w:kern w:val="0"/>
          <w:sz w:val="24"/>
          <w:szCs w:val="24"/>
          <w:lang w:val="en-GB"/>
          <w14:ligatures w14:val="none"/>
        </w:rPr>
        <w:t>Retail &amp; Services</w:t>
      </w:r>
      <w:r w:rsidRPr="00C8427C">
        <w:rPr>
          <w:rFonts w:ascii="Calibri" w:hAnsi="Calibri" w:cs="Calibri"/>
          <w:kern w:val="0"/>
          <w:sz w:val="24"/>
          <w:szCs w:val="24"/>
          <w:lang w:val="en-GB"/>
          <w14:ligatures w14:val="none"/>
        </w:rPr>
        <w:t xml:space="preserve">, this submission emphasises the importance of diversifying Sandyford’s offer to support both business activity and community life. It advocates for </w:t>
      </w:r>
      <w:r w:rsidRPr="00C8427C">
        <w:rPr>
          <w:rFonts w:ascii="Calibri" w:hAnsi="Calibri" w:cs="Calibri"/>
          <w:b/>
          <w:bCs/>
          <w:kern w:val="0"/>
          <w:sz w:val="24"/>
          <w:szCs w:val="24"/>
          <w:lang w:val="en-GB"/>
          <w14:ligatures w14:val="none"/>
        </w:rPr>
        <w:t>planning and zoning measures</w:t>
      </w:r>
      <w:r w:rsidRPr="00C8427C">
        <w:rPr>
          <w:rFonts w:ascii="Calibri" w:hAnsi="Calibri" w:cs="Calibri"/>
          <w:kern w:val="0"/>
          <w:sz w:val="24"/>
          <w:szCs w:val="24"/>
          <w:lang w:val="en-GB"/>
          <w14:ligatures w14:val="none"/>
        </w:rPr>
        <w:t xml:space="preserve"> to facilitate additional </w:t>
      </w:r>
      <w:r w:rsidRPr="00C8427C">
        <w:rPr>
          <w:rFonts w:ascii="Calibri" w:hAnsi="Calibri" w:cs="Calibri"/>
          <w:b/>
          <w:bCs/>
          <w:kern w:val="0"/>
          <w:sz w:val="24"/>
          <w:szCs w:val="24"/>
          <w:lang w:val="en-GB"/>
          <w14:ligatures w14:val="none"/>
        </w:rPr>
        <w:t>hotels</w:t>
      </w:r>
      <w:r w:rsidRPr="00C8427C">
        <w:rPr>
          <w:rFonts w:ascii="Calibri" w:hAnsi="Calibri" w:cs="Calibri"/>
          <w:kern w:val="0"/>
          <w:sz w:val="24"/>
          <w:szCs w:val="24"/>
          <w:lang w:val="en-GB"/>
          <w14:ligatures w14:val="none"/>
        </w:rPr>
        <w:t xml:space="preserve">, catering to business and leisure visitors and strengthening the district’s appeal. This submission also highlights the potential of a </w:t>
      </w:r>
      <w:r w:rsidRPr="00C8427C">
        <w:rPr>
          <w:rFonts w:ascii="Calibri" w:hAnsi="Calibri" w:cs="Calibri"/>
          <w:b/>
          <w:bCs/>
          <w:kern w:val="0"/>
          <w:sz w:val="24"/>
          <w:szCs w:val="24"/>
          <w:lang w:val="en-GB"/>
          <w14:ligatures w14:val="none"/>
        </w:rPr>
        <w:t>vibrant night-time economy</w:t>
      </w:r>
      <w:r w:rsidRPr="00C8427C">
        <w:rPr>
          <w:rFonts w:ascii="Calibri" w:hAnsi="Calibri" w:cs="Calibri"/>
          <w:kern w:val="0"/>
          <w:sz w:val="24"/>
          <w:szCs w:val="24"/>
          <w:lang w:val="en-GB"/>
          <w14:ligatures w14:val="none"/>
        </w:rPr>
        <w:t>, supporting a mix of evening and cultural activities to enhance the district’s attractiveness, extend hours of activity, and contribute to a dynamic and sustainable urban environment.</w:t>
      </w:r>
    </w:p>
    <w:p w14:paraId="1CADCE32" w14:textId="77777777" w:rsidR="00C8427C" w:rsidRPr="00C8427C" w:rsidRDefault="00C8427C" w:rsidP="00C8427C">
      <w:pPr>
        <w:rPr>
          <w:rFonts w:ascii="Calibri" w:hAnsi="Calibri" w:cs="Calibri"/>
          <w:kern w:val="0"/>
          <w:sz w:val="24"/>
          <w:szCs w:val="24"/>
          <w:lang w:val="en-GB"/>
          <w14:ligatures w14:val="none"/>
        </w:rPr>
      </w:pPr>
      <w:r w:rsidRPr="00C8427C">
        <w:rPr>
          <w:rFonts w:ascii="Calibri" w:hAnsi="Calibri" w:cs="Calibri"/>
          <w:b/>
          <w:bCs/>
          <w:smallCaps/>
          <w:color w:val="0070C0"/>
          <w:kern w:val="0"/>
          <w:sz w:val="28"/>
          <w:szCs w:val="28"/>
          <w:lang w:val="en-GB"/>
          <w14:ligatures w14:val="none"/>
        </w:rPr>
        <w:lastRenderedPageBreak/>
        <w:t>Sustainability &amp; Climate Action</w:t>
      </w:r>
      <w:r w:rsidRPr="00C8427C">
        <w:rPr>
          <w:rFonts w:ascii="Calibri" w:hAnsi="Calibri" w:cs="Calibri"/>
          <w:kern w:val="0"/>
          <w:sz w:val="24"/>
          <w:szCs w:val="24"/>
          <w:lang w:val="en-GB"/>
          <w14:ligatures w14:val="none"/>
        </w:rPr>
        <w:br/>
        <w:t xml:space="preserve">Under </w:t>
      </w:r>
      <w:r w:rsidRPr="00C8427C">
        <w:rPr>
          <w:rFonts w:ascii="Calibri" w:hAnsi="Calibri" w:cs="Calibri"/>
          <w:b/>
          <w:bCs/>
          <w:kern w:val="0"/>
          <w:sz w:val="24"/>
          <w:szCs w:val="24"/>
          <w:lang w:val="en-GB"/>
          <w14:ligatures w14:val="none"/>
        </w:rPr>
        <w:t>Sustainability &amp; Climate Action</w:t>
      </w:r>
      <w:r w:rsidRPr="00C8427C">
        <w:rPr>
          <w:rFonts w:ascii="Calibri" w:hAnsi="Calibri" w:cs="Calibri"/>
          <w:kern w:val="0"/>
          <w:sz w:val="24"/>
          <w:szCs w:val="24"/>
          <w:lang w:val="en-GB"/>
          <w14:ligatures w14:val="none"/>
        </w:rPr>
        <w:t xml:space="preserve">, this submission advocates for the creation of a </w:t>
      </w:r>
      <w:r w:rsidRPr="00C8427C">
        <w:rPr>
          <w:rFonts w:ascii="Calibri" w:hAnsi="Calibri" w:cs="Calibri"/>
          <w:b/>
          <w:bCs/>
          <w:kern w:val="0"/>
          <w:sz w:val="24"/>
          <w:szCs w:val="24"/>
          <w:lang w:val="en-GB"/>
          <w14:ligatures w14:val="none"/>
        </w:rPr>
        <w:t>Civic Park</w:t>
      </w:r>
      <w:r w:rsidRPr="00C8427C">
        <w:rPr>
          <w:rFonts w:ascii="Calibri" w:hAnsi="Calibri" w:cs="Calibri"/>
          <w:kern w:val="0"/>
          <w:sz w:val="24"/>
          <w:szCs w:val="24"/>
          <w:lang w:val="en-GB"/>
          <w14:ligatures w14:val="none"/>
        </w:rPr>
        <w:t xml:space="preserve"> designed to prioritise </w:t>
      </w:r>
      <w:r w:rsidRPr="00C8427C">
        <w:rPr>
          <w:rFonts w:ascii="Calibri" w:hAnsi="Calibri" w:cs="Calibri"/>
          <w:b/>
          <w:bCs/>
          <w:kern w:val="0"/>
          <w:sz w:val="24"/>
          <w:szCs w:val="24"/>
          <w:lang w:val="en-GB"/>
          <w14:ligatures w14:val="none"/>
        </w:rPr>
        <w:t>biodiversity and sustainability</w:t>
      </w:r>
      <w:r w:rsidRPr="00C8427C">
        <w:rPr>
          <w:rFonts w:ascii="Calibri" w:hAnsi="Calibri" w:cs="Calibri"/>
          <w:kern w:val="0"/>
          <w:sz w:val="24"/>
          <w:szCs w:val="24"/>
          <w:lang w:val="en-GB"/>
          <w14:ligatures w14:val="none"/>
        </w:rPr>
        <w:t xml:space="preserve">, incorporating native planting, solar panels, and other green infrastructure. It recommends that companies within the district be </w:t>
      </w:r>
      <w:r w:rsidRPr="00C8427C">
        <w:rPr>
          <w:rFonts w:ascii="Calibri" w:hAnsi="Calibri" w:cs="Calibri"/>
          <w:b/>
          <w:bCs/>
          <w:kern w:val="0"/>
          <w:sz w:val="24"/>
          <w:szCs w:val="24"/>
          <w:lang w:val="en-GB"/>
          <w14:ligatures w14:val="none"/>
        </w:rPr>
        <w:t>incentivised and guided</w:t>
      </w:r>
      <w:r w:rsidRPr="00C8427C">
        <w:rPr>
          <w:rFonts w:ascii="Calibri" w:hAnsi="Calibri" w:cs="Calibri"/>
          <w:kern w:val="0"/>
          <w:sz w:val="24"/>
          <w:szCs w:val="24"/>
          <w:lang w:val="en-GB"/>
          <w14:ligatures w14:val="none"/>
        </w:rPr>
        <w:t xml:space="preserve"> to adopt climate-friendly practices, including vertical gardens, rooftop planting, and solar technologies. In alignment with the </w:t>
      </w:r>
      <w:r w:rsidRPr="00C8427C">
        <w:rPr>
          <w:rFonts w:ascii="Calibri" w:hAnsi="Calibri" w:cs="Calibri"/>
          <w:b/>
          <w:bCs/>
          <w:kern w:val="0"/>
          <w:sz w:val="24"/>
          <w:szCs w:val="24"/>
          <w:lang w:val="en-GB"/>
          <w14:ligatures w14:val="none"/>
        </w:rPr>
        <w:t>Council’s Climate Action Plan 2024–2029</w:t>
      </w:r>
      <w:r w:rsidRPr="00C8427C">
        <w:rPr>
          <w:rFonts w:ascii="Calibri" w:hAnsi="Calibri" w:cs="Calibri"/>
          <w:kern w:val="0"/>
          <w:sz w:val="24"/>
          <w:szCs w:val="24"/>
          <w:lang w:val="en-GB"/>
          <w14:ligatures w14:val="none"/>
        </w:rPr>
        <w:t xml:space="preserve">, the submission emphasises the importance of </w:t>
      </w:r>
      <w:r w:rsidRPr="00C8427C">
        <w:rPr>
          <w:rFonts w:ascii="Calibri" w:hAnsi="Calibri" w:cs="Calibri"/>
          <w:b/>
          <w:bCs/>
          <w:kern w:val="0"/>
          <w:sz w:val="24"/>
          <w:szCs w:val="24"/>
          <w:lang w:val="en-GB"/>
          <w14:ligatures w14:val="none"/>
        </w:rPr>
        <w:t>building energy efficiency measures</w:t>
      </w:r>
      <w:r w:rsidRPr="00C8427C">
        <w:rPr>
          <w:rFonts w:ascii="Calibri" w:hAnsi="Calibri" w:cs="Calibri"/>
          <w:kern w:val="0"/>
          <w:sz w:val="24"/>
          <w:szCs w:val="24"/>
          <w:lang w:val="en-GB"/>
          <w14:ligatures w14:val="none"/>
        </w:rPr>
        <w:t xml:space="preserve"> and the active promotion of available grants and supports to accelerate the transition to a low-carbon and resilient district.</w:t>
      </w:r>
    </w:p>
    <w:p w14:paraId="0292E8CC" w14:textId="4761F96F" w:rsidR="00C8427C" w:rsidRPr="00C8427C" w:rsidRDefault="00C8427C" w:rsidP="00C8427C">
      <w:pPr>
        <w:spacing w:before="100" w:beforeAutospacing="1" w:after="100" w:afterAutospacing="1" w:line="240" w:lineRule="auto"/>
        <w:rPr>
          <w:rFonts w:ascii="Calibri" w:eastAsia="Times New Roman" w:hAnsi="Calibri" w:cs="Calibri"/>
          <w:kern w:val="0"/>
          <w:sz w:val="24"/>
          <w:szCs w:val="24"/>
          <w:lang w:val="en-GB" w:eastAsia="en-GB"/>
          <w14:ligatures w14:val="none"/>
        </w:rPr>
      </w:pPr>
    </w:p>
    <w:p w14:paraId="5422F5AC" w14:textId="77777777" w:rsidR="002B7470" w:rsidRDefault="002B7470"/>
    <w:p w14:paraId="62FD057C" w14:textId="77777777" w:rsidR="002B7470" w:rsidRDefault="002B7470"/>
    <w:sectPr w:rsidR="002B7470" w:rsidSect="00C8427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0EB0"/>
    <w:multiLevelType w:val="multilevel"/>
    <w:tmpl w:val="640C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E2270"/>
    <w:multiLevelType w:val="multilevel"/>
    <w:tmpl w:val="B9F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872FF"/>
    <w:multiLevelType w:val="multilevel"/>
    <w:tmpl w:val="D5DA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C60D3"/>
    <w:multiLevelType w:val="multilevel"/>
    <w:tmpl w:val="B6EE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A7A52"/>
    <w:multiLevelType w:val="multilevel"/>
    <w:tmpl w:val="C140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06A7D"/>
    <w:multiLevelType w:val="multilevel"/>
    <w:tmpl w:val="38A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33020">
    <w:abstractNumId w:val="2"/>
  </w:num>
  <w:num w:numId="2" w16cid:durableId="214007710">
    <w:abstractNumId w:val="4"/>
  </w:num>
  <w:num w:numId="3" w16cid:durableId="2084595019">
    <w:abstractNumId w:val="0"/>
  </w:num>
  <w:num w:numId="4" w16cid:durableId="675040549">
    <w:abstractNumId w:val="3"/>
  </w:num>
  <w:num w:numId="5" w16cid:durableId="308363839">
    <w:abstractNumId w:val="5"/>
  </w:num>
  <w:num w:numId="6" w16cid:durableId="384912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427C"/>
    <w:rsid w:val="001F66D1"/>
    <w:rsid w:val="00207725"/>
    <w:rsid w:val="002B7470"/>
    <w:rsid w:val="00527FE7"/>
    <w:rsid w:val="00712C6D"/>
    <w:rsid w:val="0074245D"/>
    <w:rsid w:val="007702FC"/>
    <w:rsid w:val="00A82102"/>
    <w:rsid w:val="00AA0B85"/>
    <w:rsid w:val="00B85593"/>
    <w:rsid w:val="00C8427C"/>
    <w:rsid w:val="00FD45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2043"/>
  <w15:chartTrackingRefBased/>
  <w15:docId w15:val="{CE91745B-90AB-4BA9-A250-7876FCD3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2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2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2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2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2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2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2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27C"/>
    <w:rPr>
      <w:rFonts w:eastAsiaTheme="majorEastAsia" w:cstheme="majorBidi"/>
      <w:color w:val="272727" w:themeColor="text1" w:themeTint="D8"/>
    </w:rPr>
  </w:style>
  <w:style w:type="paragraph" w:styleId="Title">
    <w:name w:val="Title"/>
    <w:basedOn w:val="Normal"/>
    <w:next w:val="Normal"/>
    <w:link w:val="TitleChar"/>
    <w:uiPriority w:val="10"/>
    <w:qFormat/>
    <w:rsid w:val="00C84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2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27C"/>
    <w:pPr>
      <w:spacing w:before="160"/>
      <w:jc w:val="center"/>
    </w:pPr>
    <w:rPr>
      <w:i/>
      <w:iCs/>
      <w:color w:val="404040" w:themeColor="text1" w:themeTint="BF"/>
    </w:rPr>
  </w:style>
  <w:style w:type="character" w:customStyle="1" w:styleId="QuoteChar">
    <w:name w:val="Quote Char"/>
    <w:basedOn w:val="DefaultParagraphFont"/>
    <w:link w:val="Quote"/>
    <w:uiPriority w:val="29"/>
    <w:rsid w:val="00C8427C"/>
    <w:rPr>
      <w:i/>
      <w:iCs/>
      <w:color w:val="404040" w:themeColor="text1" w:themeTint="BF"/>
    </w:rPr>
  </w:style>
  <w:style w:type="paragraph" w:styleId="ListParagraph">
    <w:name w:val="List Paragraph"/>
    <w:basedOn w:val="Normal"/>
    <w:uiPriority w:val="34"/>
    <w:qFormat/>
    <w:rsid w:val="00C8427C"/>
    <w:pPr>
      <w:ind w:left="720"/>
      <w:contextualSpacing/>
    </w:pPr>
  </w:style>
  <w:style w:type="character" w:styleId="IntenseEmphasis">
    <w:name w:val="Intense Emphasis"/>
    <w:basedOn w:val="DefaultParagraphFont"/>
    <w:uiPriority w:val="21"/>
    <w:qFormat/>
    <w:rsid w:val="00C8427C"/>
    <w:rPr>
      <w:i/>
      <w:iCs/>
      <w:color w:val="0F4761" w:themeColor="accent1" w:themeShade="BF"/>
    </w:rPr>
  </w:style>
  <w:style w:type="paragraph" w:styleId="IntenseQuote">
    <w:name w:val="Intense Quote"/>
    <w:basedOn w:val="Normal"/>
    <w:next w:val="Normal"/>
    <w:link w:val="IntenseQuoteChar"/>
    <w:uiPriority w:val="30"/>
    <w:qFormat/>
    <w:rsid w:val="00C84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27C"/>
    <w:rPr>
      <w:i/>
      <w:iCs/>
      <w:color w:val="0F4761" w:themeColor="accent1" w:themeShade="BF"/>
    </w:rPr>
  </w:style>
  <w:style w:type="character" w:styleId="IntenseReference">
    <w:name w:val="Intense Reference"/>
    <w:basedOn w:val="DefaultParagraphFont"/>
    <w:uiPriority w:val="32"/>
    <w:qFormat/>
    <w:rsid w:val="00C8427C"/>
    <w:rPr>
      <w:b/>
      <w:bCs/>
      <w:smallCaps/>
      <w:color w:val="0F4761" w:themeColor="accent1" w:themeShade="BF"/>
      <w:spacing w:val="5"/>
    </w:rPr>
  </w:style>
  <w:style w:type="character" w:styleId="Hyperlink">
    <w:name w:val="Hyperlink"/>
    <w:basedOn w:val="DefaultParagraphFont"/>
    <w:uiPriority w:val="99"/>
    <w:unhideWhenUsed/>
    <w:rsid w:val="00207725"/>
    <w:rPr>
      <w:color w:val="467886" w:themeColor="hyperlink"/>
      <w:u w:val="single"/>
    </w:rPr>
  </w:style>
  <w:style w:type="character" w:styleId="FollowedHyperlink">
    <w:name w:val="FollowedHyperlink"/>
    <w:basedOn w:val="DefaultParagraphFont"/>
    <w:uiPriority w:val="99"/>
    <w:semiHidden/>
    <w:unhideWhenUsed/>
    <w:rsid w:val="00207725"/>
    <w:rPr>
      <w:color w:val="96607D" w:themeColor="followedHyperlink"/>
      <w:u w:val="single"/>
    </w:rPr>
  </w:style>
  <w:style w:type="character" w:styleId="UnresolvedMention">
    <w:name w:val="Unresolved Mention"/>
    <w:basedOn w:val="DefaultParagraphFont"/>
    <w:uiPriority w:val="99"/>
    <w:semiHidden/>
    <w:unhideWhenUsed/>
    <w:rsid w:val="002B7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Moore, Sandyford Business District</dc:creator>
  <cp:keywords/>
  <dc:description/>
  <cp:lastModifiedBy>Niamh Egan</cp:lastModifiedBy>
  <cp:revision>2</cp:revision>
  <dcterms:created xsi:type="dcterms:W3CDTF">2025-08-18T17:28:00Z</dcterms:created>
  <dcterms:modified xsi:type="dcterms:W3CDTF">2025-08-18T17:28:00Z</dcterms:modified>
</cp:coreProperties>
</file>